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49041">
      <w:pPr>
        <w:keepNext w:val="0"/>
        <w:keepLines w:val="0"/>
        <w:pageBreakBefore w:val="0"/>
        <w:widowControl w:val="0"/>
        <w:kinsoku/>
        <w:wordWrap/>
        <w:overflowPunct/>
        <w:topLinePunct w:val="0"/>
        <w:bidi w:val="0"/>
        <w:spacing w:line="560" w:lineRule="exact"/>
        <w:jc w:val="left"/>
        <w:rPr>
          <w:rFonts w:hint="eastAsia" w:ascii="黑体" w:hAnsi="黑体" w:eastAsia="黑体" w:cs="黑体"/>
          <w:b w:val="0"/>
          <w:bCs w:val="0"/>
          <w:sz w:val="32"/>
          <w:szCs w:val="32"/>
          <w:lang w:val="en-US" w:eastAsia="zh-CN"/>
        </w:rPr>
      </w:pPr>
      <w:bookmarkStart w:id="2" w:name="_GoBack"/>
      <w:bookmarkEnd w:id="2"/>
      <w:r>
        <w:rPr>
          <w:rFonts w:hint="eastAsia" w:ascii="黑体" w:hAnsi="黑体" w:eastAsia="黑体" w:cs="黑体"/>
          <w:b w:val="0"/>
          <w:bCs w:val="0"/>
          <w:sz w:val="32"/>
          <w:szCs w:val="32"/>
          <w:lang w:val="en-US" w:eastAsia="zh-CN"/>
        </w:rPr>
        <w:t>附件1</w:t>
      </w:r>
    </w:p>
    <w:p w14:paraId="39E69FA4">
      <w:pPr>
        <w:keepNext w:val="0"/>
        <w:keepLines w:val="0"/>
        <w:pageBreakBefore w:val="0"/>
        <w:widowControl w:val="0"/>
        <w:kinsoku/>
        <w:wordWrap/>
        <w:overflowPunct/>
        <w:topLinePunct w:val="0"/>
        <w:bidi w:val="0"/>
        <w:spacing w:line="560" w:lineRule="exact"/>
        <w:ind w:firstLine="880" w:firstLineChars="20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2026年</w:t>
      </w:r>
      <w:r>
        <w:rPr>
          <w:rFonts w:hint="eastAsia" w:ascii="方正小标宋简体" w:hAnsi="方正小标宋简体" w:eastAsia="方正小标宋简体" w:cs="方正小标宋简体"/>
          <w:b w:val="0"/>
          <w:bCs w:val="0"/>
          <w:sz w:val="44"/>
          <w:szCs w:val="44"/>
        </w:rPr>
        <w:t>黑龙江省</w:t>
      </w:r>
      <w:r>
        <w:rPr>
          <w:rFonts w:hint="eastAsia" w:ascii="方正小标宋简体" w:hAnsi="方正小标宋简体" w:eastAsia="方正小标宋简体" w:cs="方正小标宋简体"/>
          <w:b w:val="0"/>
          <w:bCs w:val="0"/>
          <w:sz w:val="44"/>
          <w:szCs w:val="44"/>
          <w:lang w:val="en-US" w:eastAsia="zh-CN"/>
        </w:rPr>
        <w:t>大</w:t>
      </w:r>
      <w:r>
        <w:rPr>
          <w:rFonts w:hint="eastAsia" w:ascii="方正小标宋简体" w:hAnsi="方正小标宋简体" w:eastAsia="方正小标宋简体" w:cs="方正小标宋简体"/>
          <w:b w:val="0"/>
          <w:bCs w:val="0"/>
          <w:sz w:val="44"/>
          <w:szCs w:val="44"/>
        </w:rPr>
        <w:t>学生游泳</w:t>
      </w:r>
      <w:r>
        <w:rPr>
          <w:rFonts w:hint="eastAsia" w:ascii="方正小标宋简体" w:hAnsi="方正小标宋简体" w:eastAsia="方正小标宋简体" w:cs="方正小标宋简体"/>
          <w:b w:val="0"/>
          <w:bCs w:val="0"/>
          <w:sz w:val="44"/>
          <w:szCs w:val="44"/>
          <w:lang w:val="en-US" w:eastAsia="zh-CN"/>
        </w:rPr>
        <w:t>锦标赛</w:t>
      </w:r>
    </w:p>
    <w:p w14:paraId="74962C1F">
      <w:pPr>
        <w:keepNext w:val="0"/>
        <w:keepLines w:val="0"/>
        <w:pageBreakBefore w:val="0"/>
        <w:widowControl w:val="0"/>
        <w:kinsoku/>
        <w:wordWrap/>
        <w:overflowPunct/>
        <w:topLinePunct w:val="0"/>
        <w:bidi w:val="0"/>
        <w:spacing w:line="560" w:lineRule="exact"/>
        <w:ind w:firstLine="880" w:firstLineChars="200"/>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竞赛规程</w:t>
      </w:r>
    </w:p>
    <w:p w14:paraId="402791A8">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p>
    <w:p w14:paraId="490B9F31">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一、主办单位</w:t>
      </w:r>
    </w:p>
    <w:p w14:paraId="5DE6E760">
      <w:pPr>
        <w:keepNext w:val="0"/>
        <w:keepLines w:val="0"/>
        <w:pageBreakBefore w:val="0"/>
        <w:widowControl w:val="0"/>
        <w:kinsoku/>
        <w:wordWrap/>
        <w:overflowPunct/>
        <w:topLinePunct w:val="0"/>
        <w:bidi w:val="0"/>
        <w:spacing w:line="560" w:lineRule="exact"/>
        <w:ind w:firstLine="640" w:firstLineChars="200"/>
        <w:jc w:val="left"/>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黑龙江省</w:t>
      </w:r>
      <w:r>
        <w:rPr>
          <w:rFonts w:hint="eastAsia" w:ascii="Times New Roman" w:hAnsi="Times New Roman" w:eastAsia="仿宋_GB2312" w:cs="仿宋_GB2312"/>
          <w:sz w:val="32"/>
          <w:szCs w:val="32"/>
          <w:lang w:val="en-US" w:eastAsia="zh-CN"/>
        </w:rPr>
        <w:t>学生体育协会</w:t>
      </w:r>
    </w:p>
    <w:p w14:paraId="7E474023">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承办单位</w:t>
      </w:r>
    </w:p>
    <w:p w14:paraId="0AE2357C">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东北林业大学</w:t>
      </w:r>
    </w:p>
    <w:p w14:paraId="679B1C46">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三、协办单位</w:t>
      </w:r>
    </w:p>
    <w:p w14:paraId="6B7E1D59">
      <w:pPr>
        <w:keepNext w:val="0"/>
        <w:keepLines w:val="0"/>
        <w:pageBreakBefore w:val="0"/>
        <w:widowControl w:val="0"/>
        <w:kinsoku/>
        <w:wordWrap/>
        <w:overflowPunct/>
        <w:topLinePunct w:val="0"/>
        <w:bidi w:val="0"/>
        <w:spacing w:line="560" w:lineRule="exact"/>
        <w:ind w:firstLine="640" w:firstLineChars="200"/>
        <w:jc w:val="left"/>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黑龙江省学生体育协会</w:t>
      </w:r>
      <w:r>
        <w:rPr>
          <w:rFonts w:hint="eastAsia" w:ascii="Times New Roman" w:hAnsi="Times New Roman" w:eastAsia="仿宋_GB2312" w:cs="仿宋_GB2312"/>
          <w:sz w:val="32"/>
          <w:szCs w:val="32"/>
          <w:lang w:val="en-US" w:eastAsia="zh-CN"/>
        </w:rPr>
        <w:t>游泳分会</w:t>
      </w:r>
    </w:p>
    <w:p w14:paraId="6038C89B">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四、日期与地点</w:t>
      </w:r>
    </w:p>
    <w:p w14:paraId="7D74C416">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比赛</w:t>
      </w:r>
      <w:r>
        <w:rPr>
          <w:rFonts w:hint="eastAsia" w:ascii="Times New Roman" w:hAnsi="Times New Roman" w:eastAsia="仿宋_GB2312" w:cs="仿宋_GB2312"/>
          <w:sz w:val="32"/>
          <w:szCs w:val="32"/>
        </w:rPr>
        <w:t>时间：</w:t>
      </w:r>
      <w:r>
        <w:rPr>
          <w:rFonts w:hint="eastAsia" w:ascii="Times New Roman" w:hAnsi="Times New Roman" w:eastAsia="仿宋_GB2312" w:cs="仿宋_GB2312"/>
          <w:sz w:val="32"/>
          <w:szCs w:val="32"/>
          <w:lang w:eastAsia="zh-CN"/>
        </w:rPr>
        <w:t>2026年6月</w:t>
      </w:r>
      <w:r>
        <w:rPr>
          <w:rFonts w:hint="eastAsia" w:ascii="Times New Roman" w:hAnsi="Times New Roman" w:eastAsia="仿宋_GB2312" w:cs="仿宋_GB2312"/>
          <w:sz w:val="32"/>
          <w:szCs w:val="32"/>
          <w:lang w:val="en-US" w:eastAsia="zh-CN"/>
        </w:rPr>
        <w:t>5</w:t>
      </w:r>
      <w:r>
        <w:rPr>
          <w:rFonts w:hint="eastAsia" w:ascii="Times New Roman" w:hAnsi="Times New Roman" w:eastAsia="仿宋_GB2312" w:cs="仿宋_GB2312"/>
          <w:sz w:val="32"/>
          <w:szCs w:val="32"/>
          <w:lang w:eastAsia="zh-CN"/>
        </w:rPr>
        <w:t>日</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6月7日</w:t>
      </w:r>
    </w:p>
    <w:p w14:paraId="039381C6">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比赛</w:t>
      </w:r>
      <w:r>
        <w:rPr>
          <w:rFonts w:hint="eastAsia" w:ascii="Times New Roman" w:hAnsi="Times New Roman" w:eastAsia="仿宋_GB2312" w:cs="仿宋_GB2312"/>
          <w:sz w:val="32"/>
          <w:szCs w:val="32"/>
        </w:rPr>
        <w:t>地点：</w:t>
      </w:r>
      <w:bookmarkStart w:id="0" w:name="_Hlk196811318"/>
      <w:r>
        <w:rPr>
          <w:rFonts w:hint="eastAsia" w:ascii="Times New Roman" w:hAnsi="Times New Roman" w:eastAsia="仿宋_GB2312" w:cs="仿宋_GB2312"/>
          <w:sz w:val="32"/>
          <w:szCs w:val="32"/>
          <w:lang w:val="en-US" w:eastAsia="zh-CN"/>
        </w:rPr>
        <w:t>东北林业大学</w:t>
      </w:r>
      <w:r>
        <w:rPr>
          <w:rFonts w:hint="eastAsia" w:ascii="Times New Roman" w:hAnsi="Times New Roman" w:eastAsia="仿宋_GB2312" w:cs="仿宋_GB2312"/>
          <w:sz w:val="32"/>
          <w:szCs w:val="32"/>
        </w:rPr>
        <w:t>游泳馆</w:t>
      </w:r>
      <w:bookmarkEnd w:id="0"/>
    </w:p>
    <w:p w14:paraId="355DCDD6">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五、参赛单位及分组</w:t>
      </w:r>
    </w:p>
    <w:p w14:paraId="6AAE60D5">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（一）参赛单位</w:t>
      </w:r>
    </w:p>
    <w:p w14:paraId="3EC5C044">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各</w:t>
      </w:r>
      <w:r>
        <w:rPr>
          <w:rFonts w:hint="eastAsia" w:ascii="Times New Roman" w:hAnsi="Times New Roman" w:eastAsia="仿宋_GB2312" w:cs="仿宋_GB2312"/>
          <w:sz w:val="32"/>
          <w:szCs w:val="32"/>
          <w:lang w:val="en-US" w:eastAsia="zh-CN"/>
        </w:rPr>
        <w:t>类</w:t>
      </w:r>
      <w:r>
        <w:rPr>
          <w:rFonts w:hint="eastAsia" w:ascii="Times New Roman" w:hAnsi="Times New Roman" w:eastAsia="仿宋_GB2312" w:cs="仿宋_GB2312"/>
          <w:sz w:val="32"/>
          <w:szCs w:val="32"/>
        </w:rPr>
        <w:t>普通高等</w:t>
      </w:r>
      <w:r>
        <w:rPr>
          <w:rFonts w:hint="eastAsia" w:ascii="Times New Roman" w:hAnsi="Times New Roman" w:eastAsia="仿宋_GB2312" w:cs="仿宋_GB2312"/>
          <w:sz w:val="32"/>
          <w:szCs w:val="32"/>
          <w:lang w:val="en-US" w:eastAsia="zh-CN"/>
        </w:rPr>
        <w:t>院校</w:t>
      </w:r>
    </w:p>
    <w:p w14:paraId="436DD854">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（二）竞赛项目及分组</w:t>
      </w:r>
    </w:p>
    <w:p w14:paraId="6810F05F">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b/>
          <w:bCs/>
          <w:sz w:val="32"/>
          <w:szCs w:val="32"/>
          <w:lang w:eastAsia="zh-CN"/>
        </w:rPr>
      </w:pPr>
      <w:r>
        <w:rPr>
          <w:rFonts w:hint="eastAsia" w:ascii="Times New Roman" w:hAnsi="Times New Roman" w:eastAsia="仿宋_GB2312" w:cs="仿宋_GB2312"/>
          <w:b/>
          <w:bCs/>
          <w:sz w:val="32"/>
          <w:szCs w:val="32"/>
        </w:rPr>
        <w:t>1</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b/>
          <w:bCs/>
          <w:sz w:val="32"/>
          <w:szCs w:val="32"/>
        </w:rPr>
        <w:t>项目</w:t>
      </w:r>
      <w:r>
        <w:rPr>
          <w:rFonts w:hint="eastAsia" w:ascii="Times New Roman" w:hAnsi="Times New Roman" w:eastAsia="仿宋_GB2312" w:cs="仿宋_GB2312"/>
          <w:b/>
          <w:bCs/>
          <w:sz w:val="32"/>
          <w:szCs w:val="32"/>
          <w:lang w:eastAsia="zh-CN"/>
        </w:rPr>
        <w:t>：</w:t>
      </w:r>
    </w:p>
    <w:p w14:paraId="6CE24EE4">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50米自由泳、100米自由泳、200米自由泳、50米蛙泳、100米蛙泳、200米蛙泳、50米蝶泳、100米蝶泳、200米蝶泳、50米仰泳、100米仰泳、200米仰泳、200米个人混合泳、4×100米混合泳接力、4×100米自由泳接力、男女4×100米自由泳接力、男女4×100米混合泳接力。</w:t>
      </w:r>
    </w:p>
    <w:p w14:paraId="3BEF6313">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sz w:val="32"/>
          <w:szCs w:val="32"/>
        </w:rPr>
        <w:t>2.分组</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sz w:val="32"/>
          <w:szCs w:val="32"/>
        </w:rPr>
        <w:t>甲组、乙组、丙组</w:t>
      </w:r>
      <w:r>
        <w:rPr>
          <w:rFonts w:hint="eastAsia" w:ascii="Times New Roman" w:hAnsi="Times New Roman" w:eastAsia="仿宋_GB2312" w:cs="仿宋_GB2312"/>
          <w:sz w:val="32"/>
          <w:szCs w:val="32"/>
          <w:lang w:eastAsia="zh-CN"/>
        </w:rPr>
        <w:t>。</w:t>
      </w:r>
    </w:p>
    <w:p w14:paraId="69B8A279">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3.报名：</w:t>
      </w:r>
      <w:r>
        <w:rPr>
          <w:rFonts w:hint="eastAsia" w:ascii="Times New Roman" w:hAnsi="Times New Roman" w:eastAsia="仿宋_GB2312" w:cs="仿宋_GB2312"/>
          <w:sz w:val="32"/>
          <w:szCs w:val="32"/>
        </w:rPr>
        <w:t>以院校为单位报名。</w:t>
      </w:r>
    </w:p>
    <w:p w14:paraId="0811E6AE">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六、运动员参赛条件</w:t>
      </w:r>
    </w:p>
    <w:p w14:paraId="3F36F9A9">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基本条件</w:t>
      </w:r>
    </w:p>
    <w:p w14:paraId="3B1498A5">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1.具有中华人民共和国国籍</w:t>
      </w:r>
      <w:r>
        <w:rPr>
          <w:rFonts w:hint="eastAsia" w:ascii="Times New Roman" w:hAnsi="Times New Roman" w:eastAsia="仿宋_GB2312" w:cs="仿宋_GB2312"/>
          <w:sz w:val="32"/>
          <w:szCs w:val="32"/>
        </w:rPr>
        <w:t>，必须是按照教育部关于全国高等院校统一招生考试录取的有关规定，经考生所在地高等院校招生委员会审核录取，并有正式学籍的全日制本、专科大学生及研究生。</w:t>
      </w:r>
    </w:p>
    <w:p w14:paraId="2030BA06">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政治思想进步，成绩合格，遵守运动员守则，经医院检查证明身体健康并参加人身意外伤害保险者。</w:t>
      </w:r>
    </w:p>
    <w:p w14:paraId="085D47FB">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3.</w:t>
      </w:r>
      <w:r>
        <w:rPr>
          <w:rFonts w:hint="eastAsia" w:ascii="Times New Roman" w:hAnsi="Times New Roman" w:eastAsia="仿宋_GB2312" w:cs="仿宋_GB2312"/>
          <w:sz w:val="32"/>
          <w:szCs w:val="32"/>
        </w:rPr>
        <w:t>属于进修班、干训班、专修班、短训班、培训班、代培班和电视大学、函授大学、夜大学、职工大学、自修大学、体育运动技术学院等所有属于成人高等教育系列的学生，均不得参加</w:t>
      </w:r>
      <w:r>
        <w:rPr>
          <w:rFonts w:hint="eastAsia" w:ascii="Times New Roman" w:hAnsi="Times New Roman" w:eastAsia="仿宋_GB2312" w:cs="仿宋_GB2312"/>
          <w:sz w:val="32"/>
          <w:szCs w:val="32"/>
          <w:lang w:val="en-US" w:eastAsia="zh-CN"/>
        </w:rPr>
        <w:t>本次比赛</w:t>
      </w:r>
      <w:r>
        <w:rPr>
          <w:rFonts w:hint="eastAsia" w:ascii="Times New Roman" w:hAnsi="Times New Roman" w:eastAsia="仿宋_GB2312" w:cs="仿宋_GB2312"/>
          <w:sz w:val="32"/>
          <w:szCs w:val="32"/>
        </w:rPr>
        <w:t>。</w:t>
      </w:r>
    </w:p>
    <w:p w14:paraId="2C829167">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（二）分组办法</w:t>
      </w:r>
    </w:p>
    <w:p w14:paraId="3EDD32E3">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lang w:val="en-US" w:eastAsia="zh-CN"/>
        </w:rPr>
        <w:t>1.</w:t>
      </w:r>
      <w:r>
        <w:rPr>
          <w:rFonts w:hint="eastAsia" w:ascii="Times New Roman" w:hAnsi="Times New Roman" w:eastAsia="仿宋_GB2312" w:cs="仿宋_GB2312"/>
          <w:b/>
          <w:bCs/>
          <w:sz w:val="32"/>
          <w:szCs w:val="32"/>
        </w:rPr>
        <w:t>甲组</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sz w:val="32"/>
          <w:szCs w:val="32"/>
          <w:lang w:eastAsia="zh-CN"/>
        </w:rPr>
        <w:t>全国高等院校报考条件，经全国高等院校统一招生考试并符合教育部制定的有关招生录取政策，被正式录取的普通高等院校本科生、研究生、体育院校中非体育类考生，不含大学学段曾在体育院校学生（具体指参加全国体育术科考试或享受任何体育加分政策类别学生）、各高水平运动队建设学校的运动员。</w:t>
      </w:r>
    </w:p>
    <w:p w14:paraId="423E16F3">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sz w:val="32"/>
          <w:szCs w:val="32"/>
          <w:lang w:val="en-US" w:eastAsia="zh-CN"/>
        </w:rPr>
        <w:t>2.</w:t>
      </w:r>
      <w:r>
        <w:rPr>
          <w:rFonts w:hint="eastAsia" w:ascii="Times New Roman" w:hAnsi="Times New Roman" w:eastAsia="仿宋_GB2312" w:cs="仿宋_GB2312"/>
          <w:b/>
          <w:bCs/>
          <w:sz w:val="32"/>
          <w:szCs w:val="32"/>
        </w:rPr>
        <w:t>乙组</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sz w:val="32"/>
          <w:szCs w:val="32"/>
          <w:lang w:eastAsia="zh-CN"/>
        </w:rPr>
        <w:t>体育院系学生（具体指各类院校的体育类专业和体育单考单招的学生）、各高水平运动队建设学校所招收的高水平运动员。</w:t>
      </w:r>
    </w:p>
    <w:p w14:paraId="6B0A81BD">
      <w:pPr>
        <w:keepNext w:val="0"/>
        <w:keepLines w:val="0"/>
        <w:pageBreakBefore w:val="0"/>
        <w:widowControl w:val="0"/>
        <w:kinsoku/>
        <w:wordWrap/>
        <w:overflowPunct/>
        <w:topLinePunct w:val="0"/>
        <w:bidi w:val="0"/>
        <w:spacing w:line="560" w:lineRule="exact"/>
        <w:ind w:firstLine="643"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b/>
          <w:bCs/>
          <w:sz w:val="32"/>
          <w:szCs w:val="32"/>
          <w:lang w:val="en-US" w:eastAsia="zh-CN"/>
        </w:rPr>
        <w:t>3.</w:t>
      </w:r>
      <w:r>
        <w:rPr>
          <w:rFonts w:hint="eastAsia" w:ascii="Times New Roman" w:hAnsi="Times New Roman" w:eastAsia="仿宋_GB2312" w:cs="仿宋_GB2312"/>
          <w:b/>
          <w:bCs/>
          <w:sz w:val="32"/>
          <w:szCs w:val="32"/>
        </w:rPr>
        <w:t>丙组</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sz w:val="32"/>
          <w:szCs w:val="32"/>
        </w:rPr>
        <w:t>高职、高专学生。</w:t>
      </w:r>
    </w:p>
    <w:p w14:paraId="14728BA5">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七、参赛办法</w:t>
      </w:r>
    </w:p>
    <w:p w14:paraId="0963F171">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（一）以学校为单位报名，每个组别，每队可报领队1人，教练员1</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2人，工作人员1人。每个组别运动员不</w:t>
      </w:r>
      <w:r>
        <w:rPr>
          <w:rFonts w:hint="eastAsia" w:ascii="Times New Roman" w:hAnsi="Times New Roman" w:eastAsia="仿宋_GB2312" w:cs="仿宋_GB2312"/>
          <w:sz w:val="32"/>
          <w:szCs w:val="32"/>
          <w:lang w:eastAsia="zh-CN"/>
        </w:rPr>
        <w:t>超过</w:t>
      </w:r>
      <w:r>
        <w:rPr>
          <w:rFonts w:hint="eastAsia" w:ascii="Times New Roman" w:hAnsi="Times New Roman" w:eastAsia="仿宋_GB2312" w:cs="仿宋_GB2312"/>
          <w:sz w:val="32"/>
          <w:szCs w:val="32"/>
        </w:rPr>
        <w:t>16名，且男、女运动员报名人数均不超过10名。</w:t>
      </w:r>
    </w:p>
    <w:p w14:paraId="5A322DE0">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（二）每个项目限报2人，每人限报2个项目，可兼报接力项目；接力项目各单位各组别限报1支队伍，各单位男女混合接力项目为2男2女。</w:t>
      </w:r>
    </w:p>
    <w:p w14:paraId="0ECBA41C">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三</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报名方式：</w:t>
      </w:r>
      <w:r>
        <w:rPr>
          <w:rFonts w:hint="eastAsia" w:ascii="Times New Roman" w:hAnsi="Times New Roman" w:eastAsia="仿宋_GB2312" w:cs="仿宋_GB2312"/>
          <w:sz w:val="32"/>
          <w:szCs w:val="32"/>
        </w:rPr>
        <w:t xml:space="preserve">各参赛队于 </w:t>
      </w:r>
      <w:r>
        <w:rPr>
          <w:rFonts w:hint="eastAsia" w:ascii="Times New Roman" w:hAnsi="Times New Roman" w:eastAsia="仿宋_GB2312" w:cs="仿宋_GB2312"/>
          <w:sz w:val="32"/>
          <w:szCs w:val="32"/>
          <w:lang w:val="en-US" w:eastAsia="zh-CN"/>
        </w:rPr>
        <w:t>2026年6</w:t>
      </w:r>
      <w:r>
        <w:rPr>
          <w:rFonts w:hint="eastAsia" w:ascii="Times New Roman" w:hAnsi="Times New Roman" w:eastAsia="仿宋_GB2312" w:cs="仿宋_GB2312"/>
          <w:sz w:val="32"/>
          <w:szCs w:val="32"/>
        </w:rPr>
        <w:t>月</w:t>
      </w: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日</w:t>
      </w:r>
      <w:r>
        <w:rPr>
          <w:rFonts w:hint="eastAsia" w:ascii="Times New Roman" w:hAnsi="Times New Roman" w:eastAsia="仿宋_GB2312" w:cs="仿宋_GB2312"/>
          <w:sz w:val="32"/>
          <w:szCs w:val="32"/>
          <w:lang w:val="en-US" w:eastAsia="zh-CN"/>
        </w:rPr>
        <w:t>16:00</w:t>
      </w:r>
      <w:r>
        <w:rPr>
          <w:rFonts w:hint="eastAsia" w:ascii="Times New Roman" w:hAnsi="Times New Roman" w:eastAsia="仿宋_GB2312" w:cs="仿宋_GB2312"/>
          <w:sz w:val="32"/>
          <w:szCs w:val="32"/>
        </w:rPr>
        <w:t>前将报名表（附件</w:t>
      </w: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）PDF格式（加盖学校公章）和WORD格式电子版</w:t>
      </w:r>
      <w:r>
        <w:rPr>
          <w:rFonts w:hint="eastAsia" w:ascii="Times New Roman" w:hAnsi="Times New Roman" w:eastAsia="仿宋_GB2312" w:cs="仿宋_GB2312"/>
          <w:sz w:val="32"/>
          <w:szCs w:val="32"/>
          <w:lang w:eastAsia="zh-CN"/>
        </w:rPr>
        <w:t>发送至</w:t>
      </w:r>
      <w:r>
        <w:rPr>
          <w:rFonts w:hint="eastAsia" w:ascii="Times New Roman" w:hAnsi="Times New Roman" w:eastAsia="仿宋_GB2312" w:cs="仿宋_GB2312"/>
          <w:sz w:val="32"/>
          <w:szCs w:val="32"/>
        </w:rPr>
        <w:t>电子信箱：hljsxstx03@163.com。</w:t>
      </w:r>
    </w:p>
    <w:p w14:paraId="1785710D">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val="en-US" w:eastAsia="zh-CN"/>
        </w:rPr>
        <w:t>四</w:t>
      </w:r>
      <w:r>
        <w:rPr>
          <w:rFonts w:hint="eastAsia" w:ascii="Times New Roman" w:hAnsi="Times New Roman" w:eastAsia="仿宋_GB2312" w:cs="仿宋_GB2312"/>
          <w:sz w:val="32"/>
          <w:szCs w:val="32"/>
        </w:rPr>
        <w:t>）报到</w:t>
      </w:r>
    </w:p>
    <w:p w14:paraId="075892AF">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highlight w:val="none"/>
          <w:lang w:val="en-US" w:eastAsia="zh-CN"/>
        </w:rPr>
        <w:t>报到</w:t>
      </w:r>
      <w:r>
        <w:rPr>
          <w:rFonts w:hint="eastAsia" w:ascii="Times New Roman" w:hAnsi="Times New Roman" w:eastAsia="仿宋_GB2312" w:cs="仿宋_GB2312"/>
          <w:sz w:val="32"/>
          <w:szCs w:val="32"/>
          <w:highlight w:val="none"/>
        </w:rPr>
        <w:t>时审验材料，</w:t>
      </w:r>
      <w:r>
        <w:rPr>
          <w:rFonts w:hint="eastAsia" w:ascii="Times New Roman" w:hAnsi="Times New Roman" w:eastAsia="仿宋_GB2312" w:cs="仿宋_GB2312"/>
          <w:sz w:val="32"/>
          <w:szCs w:val="32"/>
        </w:rPr>
        <w:t>各参赛队在领队会时</w:t>
      </w:r>
      <w:r>
        <w:rPr>
          <w:rFonts w:hint="eastAsia" w:ascii="Times New Roman" w:hAnsi="Times New Roman" w:eastAsia="仿宋_GB2312" w:cs="仿宋_GB2312"/>
          <w:sz w:val="32"/>
          <w:szCs w:val="32"/>
          <w:lang w:eastAsia="zh-CN"/>
        </w:rPr>
        <w:t>须</w:t>
      </w:r>
      <w:r>
        <w:rPr>
          <w:rFonts w:hint="eastAsia" w:ascii="Times New Roman" w:hAnsi="Times New Roman" w:eastAsia="仿宋_GB2312" w:cs="仿宋_GB2312"/>
          <w:sz w:val="32"/>
          <w:szCs w:val="32"/>
        </w:rPr>
        <w:t>提交以下材料；</w:t>
      </w:r>
    </w:p>
    <w:p w14:paraId="0BCEBD58">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1.运动员本人第二代身份证复印件</w:t>
      </w:r>
      <w:r>
        <w:rPr>
          <w:rFonts w:hint="eastAsia" w:ascii="Times New Roman" w:hAnsi="Times New Roman" w:eastAsia="仿宋_GB2312" w:cs="仿宋_GB2312"/>
          <w:sz w:val="32"/>
          <w:szCs w:val="32"/>
          <w:lang w:eastAsia="zh-CN"/>
        </w:rPr>
        <w:t>；</w:t>
      </w:r>
    </w:p>
    <w:p w14:paraId="7FA89D07">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2.加盖公章的报名表原件</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附件2</w:t>
      </w:r>
      <w:r>
        <w:rPr>
          <w:rFonts w:hint="eastAsia" w:ascii="Times New Roman" w:hAnsi="Times New Roman" w:eastAsia="仿宋_GB2312" w:cs="仿宋_GB2312"/>
          <w:sz w:val="32"/>
          <w:szCs w:val="32"/>
          <w:lang w:eastAsia="zh-CN"/>
        </w:rPr>
        <w:t>）；</w:t>
      </w:r>
    </w:p>
    <w:p w14:paraId="3B64CFA3">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3.</w:t>
      </w:r>
      <w:r>
        <w:rPr>
          <w:rFonts w:hint="eastAsia" w:ascii="Times New Roman" w:hAnsi="Times New Roman" w:eastAsia="仿宋_GB2312" w:cs="仿宋_GB2312"/>
          <w:sz w:val="32"/>
          <w:szCs w:val="32"/>
          <w:lang w:val="en-US" w:eastAsia="zh-CN"/>
        </w:rPr>
        <w:t>运动员本人纸质版学信网</w:t>
      </w:r>
      <w:r>
        <w:rPr>
          <w:rFonts w:hint="eastAsia" w:ascii="Times New Roman" w:hAnsi="Times New Roman" w:eastAsia="仿宋_GB2312" w:cs="仿宋_GB2312"/>
          <w:sz w:val="32"/>
          <w:szCs w:val="32"/>
        </w:rPr>
        <w:t>学籍证明（加盖学校公章）</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甲组报名研究生要提供本科学段高考录取名册</w:t>
      </w:r>
      <w:r>
        <w:rPr>
          <w:rFonts w:hint="eastAsia" w:ascii="Times New Roman" w:hAnsi="Times New Roman" w:eastAsia="仿宋_GB2312" w:cs="仿宋_GB2312"/>
          <w:sz w:val="32"/>
          <w:szCs w:val="32"/>
          <w:lang w:eastAsia="zh-CN"/>
        </w:rPr>
        <w:t>；</w:t>
      </w:r>
    </w:p>
    <w:p w14:paraId="73D8ACCA">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4.保险单据</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各参赛单位所有人员必须自行</w:t>
      </w:r>
      <w:r>
        <w:rPr>
          <w:rFonts w:hint="eastAsia" w:ascii="Times New Roman" w:hAnsi="Times New Roman" w:eastAsia="仿宋_GB2312" w:cs="仿宋_GB2312"/>
          <w:sz w:val="32"/>
          <w:szCs w:val="32"/>
          <w:lang w:eastAsia="zh-CN"/>
        </w:rPr>
        <w:t>购买</w:t>
      </w:r>
      <w:r>
        <w:rPr>
          <w:rFonts w:hint="eastAsia" w:ascii="Times New Roman" w:hAnsi="Times New Roman" w:eastAsia="仿宋_GB2312" w:cs="仿宋_GB2312"/>
          <w:sz w:val="32"/>
          <w:szCs w:val="32"/>
        </w:rPr>
        <w:t>本次比赛的人身意外伤害险，保障内容包括：意外身故和残疾</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保额不低于10万</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意外医疗（包含门急诊和住院费用保额不低于2万）</w:t>
      </w:r>
      <w:r>
        <w:rPr>
          <w:rFonts w:hint="eastAsia" w:ascii="Times New Roman" w:hAnsi="Times New Roman" w:eastAsia="仿宋_GB2312" w:cs="仿宋_GB2312"/>
          <w:sz w:val="32"/>
          <w:szCs w:val="32"/>
          <w:lang w:eastAsia="zh-CN"/>
        </w:rPr>
        <w:t>，以</w:t>
      </w:r>
      <w:r>
        <w:rPr>
          <w:rFonts w:hint="eastAsia" w:ascii="Times New Roman" w:hAnsi="Times New Roman" w:eastAsia="仿宋_GB2312" w:cs="仿宋_GB2312"/>
          <w:sz w:val="32"/>
          <w:szCs w:val="32"/>
        </w:rPr>
        <w:t>及由于比赛引发的其他相关问题。保险</w:t>
      </w:r>
      <w:r>
        <w:rPr>
          <w:rFonts w:hint="eastAsia" w:ascii="Times New Roman" w:hAnsi="Times New Roman" w:eastAsia="仿宋_GB2312" w:cs="仿宋_GB2312"/>
          <w:sz w:val="32"/>
          <w:szCs w:val="32"/>
          <w:lang w:eastAsia="zh-CN"/>
        </w:rPr>
        <w:t>有效期</w:t>
      </w:r>
      <w:r>
        <w:rPr>
          <w:rFonts w:hint="eastAsia" w:ascii="Times New Roman" w:hAnsi="Times New Roman" w:eastAsia="仿宋_GB2312" w:cs="仿宋_GB2312"/>
          <w:sz w:val="32"/>
          <w:szCs w:val="32"/>
        </w:rPr>
        <w:t>包括比赛来回途中；</w:t>
      </w:r>
    </w:p>
    <w:p w14:paraId="073FB6B0">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5.健康证明</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参加比赛的所有运动员都</w:t>
      </w:r>
      <w:r>
        <w:rPr>
          <w:rFonts w:hint="eastAsia" w:ascii="Times New Roman" w:hAnsi="Times New Roman" w:eastAsia="仿宋_GB2312" w:cs="仿宋_GB2312"/>
          <w:sz w:val="32"/>
          <w:szCs w:val="32"/>
          <w:lang w:eastAsia="zh-CN"/>
        </w:rPr>
        <w:t>须</w:t>
      </w:r>
      <w:r>
        <w:rPr>
          <w:rFonts w:hint="eastAsia" w:ascii="Times New Roman" w:hAnsi="Times New Roman" w:eastAsia="仿宋_GB2312" w:cs="仿宋_GB2312"/>
          <w:sz w:val="32"/>
          <w:szCs w:val="32"/>
        </w:rPr>
        <w:t>经医院体检证明身体健康，适合参加所报名项目比赛的体检报告；</w:t>
      </w:r>
    </w:p>
    <w:p w14:paraId="0495992B">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6.自愿参赛风险告知书（附件</w:t>
      </w:r>
      <w:r>
        <w:rPr>
          <w:rFonts w:hint="eastAsia" w:ascii="Times New Roman" w:hAnsi="Times New Roman" w:eastAsia="仿宋_GB2312" w:cs="仿宋_GB2312"/>
          <w:sz w:val="32"/>
          <w:szCs w:val="32"/>
          <w:lang w:val="en-US" w:eastAsia="zh-CN"/>
        </w:rPr>
        <w:t>3</w:t>
      </w:r>
      <w:r>
        <w:rPr>
          <w:rFonts w:hint="eastAsia" w:ascii="Times New Roman" w:hAnsi="Times New Roman" w:eastAsia="仿宋_GB2312" w:cs="仿宋_GB2312"/>
          <w:sz w:val="32"/>
          <w:szCs w:val="32"/>
        </w:rPr>
        <w:t>）；</w:t>
      </w:r>
    </w:p>
    <w:p w14:paraId="14B1590C">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以上材料不全或不符合要求者不得参赛。</w:t>
      </w:r>
    </w:p>
    <w:p w14:paraId="46A7D0ED">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八、竞赛办法</w:t>
      </w:r>
    </w:p>
    <w:p w14:paraId="2F06DEE1">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（一）采用中国游泳协会审定的最新《游泳竞赛规则》执行。</w:t>
      </w:r>
    </w:p>
    <w:p w14:paraId="35A11BDB">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w:t>
      </w:r>
      <w:r>
        <w:rPr>
          <w:rFonts w:hint="eastAsia" w:ascii="Times New Roman" w:hAnsi="Times New Roman" w:eastAsia="仿宋_GB2312" w:cs="仿宋_GB2312"/>
          <w:sz w:val="32"/>
          <w:szCs w:val="32"/>
          <w:lang w:val="en-US" w:eastAsia="zh-CN"/>
        </w:rPr>
        <w:t>本次比赛</w:t>
      </w:r>
      <w:r>
        <w:rPr>
          <w:rFonts w:hint="eastAsia" w:ascii="Times New Roman" w:hAnsi="Times New Roman" w:eastAsia="仿宋_GB2312" w:cs="仿宋_GB2312"/>
          <w:sz w:val="32"/>
          <w:szCs w:val="32"/>
        </w:rPr>
        <w:t>均采用一次性分组决赛。</w:t>
      </w:r>
    </w:p>
    <w:p w14:paraId="00B66A4B">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（三）报名后无故弃权者</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不得参加后续比赛。</w:t>
      </w:r>
    </w:p>
    <w:p w14:paraId="040EE329">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val="en-US" w:eastAsia="zh-CN"/>
        </w:rPr>
        <w:t>四</w:t>
      </w:r>
      <w:r>
        <w:rPr>
          <w:rFonts w:hint="eastAsia" w:ascii="Times New Roman" w:hAnsi="Times New Roman" w:eastAsia="仿宋_GB2312" w:cs="仿宋_GB2312"/>
          <w:sz w:val="32"/>
          <w:szCs w:val="32"/>
        </w:rPr>
        <w:t>）单项报名人数不足3人（队）、接力项目不足三队，取消该项目比赛，组委会通知相关单位，按照竞赛规程更改参赛项目。</w:t>
      </w:r>
    </w:p>
    <w:p w14:paraId="71186887">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九、资格审查</w:t>
      </w:r>
    </w:p>
    <w:p w14:paraId="506F0678">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（一）为了端正赛风，体现举办学生运动会突出教育特色，以育人为宗旨的指导思想，各普通高校必须对各报名参赛的运动员资格认真审查，按照本规程的规定、严格把关，杜绝弄虚作假、冒名顶替的行为发生。</w:t>
      </w:r>
    </w:p>
    <w:p w14:paraId="4E57FF89">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（二）对冒名顶替、弄虚作假参加比赛的运动员，</w:t>
      </w:r>
      <w:r>
        <w:rPr>
          <w:rFonts w:hint="eastAsia" w:ascii="Times New Roman" w:hAnsi="Times New Roman" w:eastAsia="仿宋_GB2312" w:cs="仿宋_GB2312"/>
          <w:sz w:val="32"/>
          <w:szCs w:val="32"/>
          <w:lang w:eastAsia="zh-CN"/>
        </w:rPr>
        <w:t>若为</w:t>
      </w:r>
      <w:r>
        <w:rPr>
          <w:rFonts w:hint="eastAsia" w:ascii="Times New Roman" w:hAnsi="Times New Roman" w:eastAsia="仿宋_GB2312" w:cs="仿宋_GB2312"/>
          <w:sz w:val="32"/>
          <w:szCs w:val="32"/>
        </w:rPr>
        <w:t>个人项目，取消其比赛成绩和名次</w:t>
      </w:r>
      <w:r>
        <w:rPr>
          <w:rFonts w:hint="eastAsia" w:ascii="Times New Roman" w:hAnsi="Times New Roman" w:eastAsia="仿宋_GB2312" w:cs="仿宋_GB2312"/>
          <w:sz w:val="32"/>
          <w:szCs w:val="32"/>
          <w:lang w:eastAsia="zh-CN"/>
        </w:rPr>
        <w:t>；若为</w:t>
      </w:r>
      <w:r>
        <w:rPr>
          <w:rFonts w:hint="eastAsia" w:ascii="Times New Roman" w:hAnsi="Times New Roman" w:eastAsia="仿宋_GB2312" w:cs="仿宋_GB2312"/>
          <w:sz w:val="32"/>
          <w:szCs w:val="32"/>
        </w:rPr>
        <w:t>集体项目，取消全队成绩和名次。同时在其所属代表团总分中按照违反规定运动员人数每人扣除20分，并按照《中国学生竞赛处罚条例》进行处罚</w:t>
      </w:r>
      <w:r>
        <w:rPr>
          <w:rFonts w:hint="eastAsia" w:ascii="Times New Roman" w:hAnsi="Times New Roman" w:eastAsia="仿宋_GB2312" w:cs="仿宋_GB2312"/>
          <w:sz w:val="32"/>
          <w:szCs w:val="32"/>
          <w:lang w:eastAsia="zh-CN"/>
        </w:rPr>
        <w:t>，追究</w:t>
      </w:r>
      <w:r>
        <w:rPr>
          <w:rFonts w:hint="eastAsia" w:ascii="Times New Roman" w:hAnsi="Times New Roman" w:eastAsia="仿宋_GB2312" w:cs="仿宋_GB2312"/>
          <w:sz w:val="32"/>
          <w:szCs w:val="32"/>
        </w:rPr>
        <w:t>相关责任人</w:t>
      </w:r>
      <w:r>
        <w:rPr>
          <w:rFonts w:hint="eastAsia" w:ascii="Times New Roman" w:hAnsi="Times New Roman" w:eastAsia="仿宋_GB2312" w:cs="仿宋_GB2312"/>
          <w:sz w:val="32"/>
          <w:szCs w:val="32"/>
          <w:lang w:eastAsia="zh-CN"/>
        </w:rPr>
        <w:t>的责任</w:t>
      </w:r>
      <w:r>
        <w:rPr>
          <w:rFonts w:hint="eastAsia" w:ascii="Times New Roman" w:hAnsi="Times New Roman" w:eastAsia="仿宋_GB2312" w:cs="仿宋_GB2312"/>
          <w:sz w:val="32"/>
          <w:szCs w:val="32"/>
        </w:rPr>
        <w:t>。</w:t>
      </w:r>
    </w:p>
    <w:p w14:paraId="20F311B9">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（三）赛会期间如对参赛运动员资格问题有异议，可向大会资格审查委员会提交领队签字的申诉报告和相关材料，并交纳申诉费1000</w:t>
      </w:r>
      <w:r>
        <w:rPr>
          <w:rFonts w:hint="eastAsia" w:ascii="Times New Roman" w:hAnsi="Times New Roman" w:eastAsia="仿宋_GB2312" w:cs="仿宋_GB2312"/>
          <w:sz w:val="32"/>
          <w:szCs w:val="32"/>
          <w:lang w:val="en-US" w:eastAsia="zh-CN"/>
        </w:rPr>
        <w:t>元</w:t>
      </w:r>
      <w:r>
        <w:rPr>
          <w:rFonts w:hint="eastAsia" w:ascii="Times New Roman" w:hAnsi="Times New Roman" w:eastAsia="仿宋_GB2312" w:cs="仿宋_GB2312"/>
          <w:sz w:val="32"/>
          <w:szCs w:val="32"/>
        </w:rPr>
        <w:t>，胜诉者申诉费归还申诉单位。</w:t>
      </w:r>
    </w:p>
    <w:p w14:paraId="34450622">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十、录取与奖励</w:t>
      </w:r>
    </w:p>
    <w:p w14:paraId="57090FB5">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（一）录取名次</w:t>
      </w:r>
    </w:p>
    <w:p w14:paraId="11AC65ED">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1.各单项比赛录取前八名</w:t>
      </w:r>
      <w:bookmarkStart w:id="1" w:name="_Hlk198240766"/>
      <w:r>
        <w:rPr>
          <w:rFonts w:hint="eastAsia" w:ascii="Times New Roman" w:hAnsi="Times New Roman" w:eastAsia="仿宋_GB2312" w:cs="仿宋_GB2312"/>
          <w:sz w:val="32"/>
          <w:szCs w:val="32"/>
        </w:rPr>
        <w:t>。</w:t>
      </w:r>
    </w:p>
    <w:bookmarkEnd w:id="1"/>
    <w:p w14:paraId="1DCF0067">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2.各组别按总分分别录取男子团体、女子团体、男女总团体前八名。</w:t>
      </w:r>
    </w:p>
    <w:p w14:paraId="294F37F3">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（二）计分办法</w:t>
      </w:r>
    </w:p>
    <w:p w14:paraId="5F223885">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1.单项录取前八名，按9、7、6、5、4、3、2、1计分。</w:t>
      </w:r>
    </w:p>
    <w:p w14:paraId="3EDF3EF4">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2.接力项目录取前八名，按18、14、12、10、8、6、4、2计分。</w:t>
      </w:r>
    </w:p>
    <w:p w14:paraId="157EDB0E">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3.打破省游泳纪录者，一次计10分（同一项目只计1次）。</w:t>
      </w:r>
    </w:p>
    <w:p w14:paraId="3EA65558">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4.团体名次按照该组运动员得分之和排列，积分多者名次列前。若积分相等以第一名多者名次列前，若仍相等以第二名多者名次列前，</w:t>
      </w:r>
      <w:r>
        <w:rPr>
          <w:rFonts w:hint="eastAsia" w:ascii="Times New Roman" w:hAnsi="Times New Roman" w:eastAsia="仿宋_GB2312" w:cs="仿宋_GB2312"/>
          <w:sz w:val="32"/>
          <w:szCs w:val="32"/>
          <w:lang w:eastAsia="zh-CN"/>
        </w:rPr>
        <w:t>以此类推</w:t>
      </w:r>
      <w:r>
        <w:rPr>
          <w:rFonts w:hint="eastAsia" w:ascii="Times New Roman" w:hAnsi="Times New Roman" w:eastAsia="仿宋_GB2312" w:cs="仿宋_GB2312"/>
          <w:sz w:val="32"/>
          <w:szCs w:val="32"/>
        </w:rPr>
        <w:t>。</w:t>
      </w:r>
    </w:p>
    <w:p w14:paraId="0E24DFB9">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（三）奖励办法</w:t>
      </w:r>
    </w:p>
    <w:p w14:paraId="37A76C03">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1.对获得前八名的运动员颁发成绩证书。</w:t>
      </w:r>
    </w:p>
    <w:p w14:paraId="2CE78496">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2.对获得各组别团体前三名的运动队颁发奖杯，第四至八名颁发奖状。</w:t>
      </w:r>
    </w:p>
    <w:p w14:paraId="5B54C815">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十一、领队、教练员、裁判员联席会议</w:t>
      </w:r>
    </w:p>
    <w:p w14:paraId="67194EDD">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（一）各参赛院校于</w:t>
      </w:r>
      <w:r>
        <w:rPr>
          <w:rFonts w:hint="eastAsia" w:ascii="Times New Roman" w:hAnsi="Times New Roman" w:eastAsia="仿宋_GB2312" w:cs="仿宋_GB2312"/>
          <w:sz w:val="32"/>
          <w:szCs w:val="32"/>
          <w:lang w:eastAsia="zh-CN"/>
        </w:rPr>
        <w:t>6月5日</w:t>
      </w:r>
      <w:r>
        <w:rPr>
          <w:rFonts w:hint="eastAsia" w:ascii="Times New Roman" w:hAnsi="Times New Roman" w:eastAsia="仿宋_GB2312" w:cs="仿宋_GB2312"/>
          <w:sz w:val="32"/>
          <w:szCs w:val="32"/>
          <w:lang w:val="en-US" w:eastAsia="zh-CN"/>
        </w:rPr>
        <w:t>15:3</w:t>
      </w:r>
      <w:r>
        <w:rPr>
          <w:rFonts w:hint="eastAsia" w:ascii="Times New Roman" w:hAnsi="Times New Roman" w:eastAsia="仿宋_GB2312" w:cs="仿宋_GB2312"/>
          <w:sz w:val="32"/>
          <w:szCs w:val="32"/>
        </w:rPr>
        <w:t>0在</w:t>
      </w:r>
      <w:r>
        <w:rPr>
          <w:rFonts w:hint="eastAsia" w:ascii="Times New Roman" w:hAnsi="Times New Roman" w:eastAsia="仿宋_GB2312" w:cs="仿宋_GB2312"/>
          <w:sz w:val="32"/>
          <w:szCs w:val="32"/>
          <w:lang w:val="en-US" w:eastAsia="zh-CN"/>
        </w:rPr>
        <w:t>东北林业大学体育馆一楼新闻发布厅报到</w:t>
      </w:r>
      <w:r>
        <w:rPr>
          <w:rFonts w:hint="eastAsia" w:ascii="Times New Roman" w:hAnsi="Times New Roman" w:eastAsia="仿宋_GB2312" w:cs="仿宋_GB2312"/>
          <w:sz w:val="32"/>
          <w:szCs w:val="32"/>
        </w:rPr>
        <w:t>。</w:t>
      </w:r>
    </w:p>
    <w:p w14:paraId="253A4638">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w:t>
      </w:r>
      <w:r>
        <w:rPr>
          <w:rFonts w:hint="eastAsia" w:ascii="Times New Roman" w:hAnsi="Times New Roman" w:eastAsia="仿宋_GB2312" w:cs="仿宋_GB2312"/>
          <w:sz w:val="32"/>
          <w:szCs w:val="32"/>
          <w:lang w:eastAsia="zh-CN"/>
        </w:rPr>
        <w:t>6月5日</w:t>
      </w:r>
      <w:r>
        <w:rPr>
          <w:rFonts w:hint="eastAsia" w:ascii="Times New Roman" w:hAnsi="Times New Roman" w:eastAsia="仿宋_GB2312" w:cs="仿宋_GB2312"/>
          <w:sz w:val="32"/>
          <w:szCs w:val="32"/>
          <w:lang w:val="en-US" w:eastAsia="zh-CN"/>
        </w:rPr>
        <w:t>16:</w:t>
      </w:r>
      <w:r>
        <w:rPr>
          <w:rFonts w:hint="eastAsia" w:ascii="Times New Roman" w:hAnsi="Times New Roman" w:eastAsia="仿宋_GB2312" w:cs="仿宋_GB2312"/>
          <w:sz w:val="32"/>
          <w:szCs w:val="32"/>
        </w:rPr>
        <w:t>00在</w:t>
      </w:r>
      <w:r>
        <w:rPr>
          <w:rFonts w:hint="eastAsia" w:ascii="Times New Roman" w:hAnsi="Times New Roman" w:eastAsia="仿宋_GB2312" w:cs="仿宋_GB2312"/>
          <w:sz w:val="32"/>
          <w:szCs w:val="32"/>
          <w:lang w:val="en-US" w:eastAsia="zh-CN"/>
        </w:rPr>
        <w:t>东北林业大学体育馆一楼新闻发布厅</w:t>
      </w:r>
      <w:r>
        <w:rPr>
          <w:rFonts w:hint="eastAsia" w:ascii="Times New Roman" w:hAnsi="Times New Roman" w:eastAsia="仿宋_GB2312" w:cs="仿宋_GB2312"/>
          <w:sz w:val="32"/>
          <w:szCs w:val="32"/>
        </w:rPr>
        <w:t>召开领队、教练员、裁判员联席会议。</w:t>
      </w:r>
    </w:p>
    <w:p w14:paraId="2BDB6163">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赛会统一安排运动员适应场地</w:t>
      </w:r>
      <w:r>
        <w:rPr>
          <w:rFonts w:hint="eastAsia" w:ascii="Times New Roman" w:hAnsi="Times New Roman" w:eastAsia="仿宋_GB2312" w:cs="仿宋_GB2312"/>
          <w:color w:val="000000"/>
          <w:kern w:val="0"/>
          <w:sz w:val="32"/>
          <w:szCs w:val="32"/>
          <w:lang w:val="en-US" w:eastAsia="zh-CN" w:bidi="ar"/>
        </w:rPr>
        <w:t>，</w:t>
      </w:r>
      <w:r>
        <w:rPr>
          <w:rFonts w:hint="eastAsia" w:ascii="Times New Roman" w:hAnsi="Times New Roman" w:eastAsia="仿宋_GB2312" w:cs="仿宋_GB2312"/>
          <w:sz w:val="32"/>
          <w:szCs w:val="32"/>
          <w:lang w:eastAsia="zh-CN"/>
        </w:rPr>
        <w:t>6月5日</w:t>
      </w:r>
      <w:r>
        <w:rPr>
          <w:rFonts w:hint="eastAsia" w:ascii="Times New Roman" w:hAnsi="Times New Roman" w:eastAsia="仿宋_GB2312" w:cs="仿宋_GB2312"/>
          <w:sz w:val="32"/>
          <w:szCs w:val="32"/>
          <w:lang w:val="en-US" w:eastAsia="zh-CN"/>
        </w:rPr>
        <w:t>13:3</w:t>
      </w:r>
      <w:r>
        <w:rPr>
          <w:rFonts w:hint="eastAsia" w:ascii="Times New Roman" w:hAnsi="Times New Roman" w:eastAsia="仿宋_GB2312" w:cs="仿宋_GB2312"/>
          <w:sz w:val="32"/>
          <w:szCs w:val="32"/>
        </w:rPr>
        <w:t>0至</w:t>
      </w:r>
      <w:r>
        <w:rPr>
          <w:rFonts w:hint="eastAsia" w:ascii="Times New Roman" w:hAnsi="Times New Roman" w:eastAsia="仿宋_GB2312" w:cs="仿宋_GB2312"/>
          <w:sz w:val="32"/>
          <w:szCs w:val="32"/>
          <w:lang w:val="en-US" w:eastAsia="zh-CN"/>
        </w:rPr>
        <w:t>17:3</w:t>
      </w:r>
      <w:r>
        <w:rPr>
          <w:rFonts w:hint="eastAsia" w:ascii="Times New Roman" w:hAnsi="Times New Roman" w:eastAsia="仿宋_GB2312" w:cs="仿宋_GB2312"/>
          <w:sz w:val="32"/>
          <w:szCs w:val="32"/>
        </w:rPr>
        <w:t>0在</w:t>
      </w:r>
      <w:r>
        <w:rPr>
          <w:rFonts w:hint="eastAsia" w:ascii="Times New Roman" w:hAnsi="Times New Roman" w:eastAsia="仿宋_GB2312" w:cs="仿宋_GB2312"/>
          <w:sz w:val="32"/>
          <w:szCs w:val="32"/>
          <w:lang w:val="en-US" w:eastAsia="zh-CN"/>
        </w:rPr>
        <w:t>东北林业大学</w:t>
      </w:r>
      <w:r>
        <w:rPr>
          <w:rFonts w:hint="eastAsia" w:ascii="Times New Roman" w:hAnsi="Times New Roman" w:eastAsia="仿宋_GB2312" w:cs="仿宋_GB2312"/>
          <w:sz w:val="32"/>
          <w:szCs w:val="32"/>
        </w:rPr>
        <w:t>游泳馆进行试水。</w:t>
      </w:r>
    </w:p>
    <w:p w14:paraId="6DFC74F9">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lang w:val="en-US" w:eastAsia="zh-CN"/>
        </w:rPr>
        <w:t xml:space="preserve">十二、经费 </w:t>
      </w:r>
    </w:p>
    <w:p w14:paraId="362674A5">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val="en-US" w:eastAsia="zh-CN"/>
        </w:rPr>
        <w:t xml:space="preserve">（一）报名费 </w:t>
      </w:r>
    </w:p>
    <w:p w14:paraId="4E36E589">
      <w:pPr>
        <w:keepNext w:val="0"/>
        <w:keepLines w:val="0"/>
        <w:pageBreakBefore w:val="0"/>
        <w:widowControl w:val="0"/>
        <w:suppressLineNumbers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1.参赛单位须缴纳参赛费1000元，同时报两个组别1200元， </w:t>
      </w:r>
    </w:p>
    <w:p w14:paraId="4F3AE81A">
      <w:pPr>
        <w:keepNext w:val="0"/>
        <w:keepLines w:val="0"/>
        <w:pageBreakBefore w:val="0"/>
        <w:widowControl w:val="0"/>
        <w:suppressLineNumbers w:val="0"/>
        <w:kinsoku/>
        <w:wordWrap/>
        <w:overflowPunct/>
        <w:topLinePunct w:val="0"/>
        <w:bidi w:val="0"/>
        <w:spacing w:line="560" w:lineRule="exact"/>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不另外收取单项报名费。 </w:t>
      </w:r>
    </w:p>
    <w:p w14:paraId="1767AF93">
      <w:pPr>
        <w:keepNext w:val="0"/>
        <w:keepLines w:val="0"/>
        <w:pageBreakBefore w:val="0"/>
        <w:widowControl w:val="0"/>
        <w:suppressLineNumbers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2.缴纳方式：转账至以下账户 </w:t>
      </w:r>
    </w:p>
    <w:p w14:paraId="5EBB8170">
      <w:pPr>
        <w:pStyle w:val="3"/>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left"/>
        <w:textAlignment w:val="baseline"/>
        <w:outlineLvl w:val="9"/>
        <w:rPr>
          <w:rFonts w:hint="eastAsia" w:ascii="Times New Roman" w:hAnsi="Times New Roman" w:eastAsia="仿宋_GB2312" w:cs="仿宋_GB2312"/>
          <w:b w:val="0"/>
          <w:bCs w:val="0"/>
          <w:spacing w:val="0"/>
          <w:sz w:val="32"/>
          <w:szCs w:val="32"/>
          <w:lang w:val="en-US" w:eastAsia="zh-CN"/>
        </w:rPr>
      </w:pPr>
      <w:r>
        <w:rPr>
          <w:rFonts w:hint="eastAsia" w:ascii="Times New Roman" w:hAnsi="Times New Roman" w:eastAsia="仿宋_GB2312" w:cs="仿宋_GB2312"/>
          <w:b w:val="0"/>
          <w:bCs w:val="0"/>
          <w:spacing w:val="0"/>
          <w:sz w:val="32"/>
          <w:szCs w:val="32"/>
          <w:lang w:val="en-US" w:eastAsia="zh-CN"/>
        </w:rPr>
        <w:t>户  名：黑龙江省学生体育协会</w:t>
      </w:r>
    </w:p>
    <w:p w14:paraId="4C4264E5">
      <w:pPr>
        <w:pStyle w:val="3"/>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left"/>
        <w:textAlignment w:val="baseline"/>
        <w:outlineLvl w:val="9"/>
        <w:rPr>
          <w:rFonts w:hint="eastAsia" w:ascii="Times New Roman" w:hAnsi="Times New Roman" w:eastAsia="仿宋_GB2312" w:cs="仿宋_GB2312"/>
          <w:b w:val="0"/>
          <w:bCs w:val="0"/>
          <w:spacing w:val="0"/>
          <w:sz w:val="32"/>
          <w:szCs w:val="32"/>
          <w:lang w:val="en-US" w:eastAsia="zh-CN"/>
        </w:rPr>
      </w:pPr>
      <w:r>
        <w:rPr>
          <w:rFonts w:hint="eastAsia" w:ascii="Times New Roman" w:hAnsi="Times New Roman" w:eastAsia="仿宋_GB2312" w:cs="仿宋_GB2312"/>
          <w:b w:val="0"/>
          <w:bCs w:val="0"/>
          <w:spacing w:val="0"/>
          <w:sz w:val="32"/>
          <w:szCs w:val="32"/>
          <w:lang w:val="en-US" w:eastAsia="zh-CN"/>
        </w:rPr>
        <w:t>开户行：哈尔滨银行股份有限公司南岗支行</w:t>
      </w:r>
    </w:p>
    <w:p w14:paraId="6FF5A72A">
      <w:pPr>
        <w:pStyle w:val="3"/>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left"/>
        <w:textAlignment w:val="baseline"/>
        <w:outlineLvl w:val="9"/>
        <w:rPr>
          <w:rFonts w:hint="eastAsia" w:ascii="Times New Roman" w:hAnsi="Times New Roman" w:eastAsia="仿宋_GB2312" w:cs="仿宋_GB2312"/>
          <w:b w:val="0"/>
          <w:bCs w:val="0"/>
          <w:spacing w:val="0"/>
          <w:sz w:val="32"/>
          <w:szCs w:val="32"/>
          <w:lang w:val="en-US" w:eastAsia="zh-CN"/>
        </w:rPr>
      </w:pPr>
      <w:r>
        <w:rPr>
          <w:rFonts w:hint="eastAsia" w:ascii="Times New Roman" w:hAnsi="Times New Roman" w:eastAsia="仿宋_GB2312" w:cs="仿宋_GB2312"/>
          <w:b w:val="0"/>
          <w:bCs w:val="0"/>
          <w:spacing w:val="0"/>
          <w:sz w:val="32"/>
          <w:szCs w:val="32"/>
          <w:lang w:val="en-US" w:eastAsia="zh-CN"/>
        </w:rPr>
        <w:t>账  号：674020071809016</w:t>
      </w:r>
    </w:p>
    <w:p w14:paraId="6A80F9B9">
      <w:pPr>
        <w:keepNext w:val="0"/>
        <w:keepLines w:val="0"/>
        <w:pageBreakBefore w:val="0"/>
        <w:widowControl w:val="0"/>
        <w:suppressLineNumbers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注：缴纳方式只接受转账（可以手机网上银行转账），现金 </w:t>
      </w:r>
    </w:p>
    <w:p w14:paraId="6801FD25">
      <w:pPr>
        <w:keepNext w:val="0"/>
        <w:keepLines w:val="0"/>
        <w:pageBreakBefore w:val="0"/>
        <w:widowControl w:val="0"/>
        <w:suppressLineNumbers w:val="0"/>
        <w:kinsoku/>
        <w:wordWrap/>
        <w:overflowPunct/>
        <w:topLinePunct w:val="0"/>
        <w:bidi w:val="0"/>
        <w:spacing w:line="560" w:lineRule="exact"/>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缴纳的请到银行柜台按上面账号支付；均须备注“报名单位名称 </w:t>
      </w:r>
    </w:p>
    <w:p w14:paraId="54B08CDB">
      <w:pPr>
        <w:keepNext w:val="0"/>
        <w:keepLines w:val="0"/>
        <w:pageBreakBefore w:val="0"/>
        <w:widowControl w:val="0"/>
        <w:suppressLineNumbers w:val="0"/>
        <w:kinsoku/>
        <w:wordWrap/>
        <w:overflowPunct/>
        <w:topLinePunct w:val="0"/>
        <w:bidi w:val="0"/>
        <w:spacing w:line="560" w:lineRule="exact"/>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和黑龙江省大学生游泳锦标赛”字样。 </w:t>
      </w:r>
    </w:p>
    <w:p w14:paraId="2CD32745">
      <w:pPr>
        <w:keepNext w:val="0"/>
        <w:keepLines w:val="0"/>
        <w:pageBreakBefore w:val="0"/>
        <w:widowControl w:val="0"/>
        <w:suppressLineNumbers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32"/>
          <w:szCs w:val="32"/>
          <w:lang w:val="en-US" w:eastAsia="zh-CN" w:bidi="ar"/>
        </w:rPr>
        <w:t xml:space="preserve">3.发票信息请写在报名邮件信件栏，与报名邮件一并发送。 </w:t>
      </w:r>
    </w:p>
    <w:p w14:paraId="6A9888B2">
      <w:pPr>
        <w:keepNext w:val="0"/>
        <w:keepLines w:val="0"/>
        <w:pageBreakBefore w:val="0"/>
        <w:widowControl w:val="0"/>
        <w:kinsoku/>
        <w:wordWrap/>
        <w:overflowPunct/>
        <w:topLinePunct w:val="0"/>
        <w:bidi w:val="0"/>
        <w:spacing w:line="560" w:lineRule="exact"/>
        <w:ind w:firstLine="643" w:firstLineChars="200"/>
        <w:jc w:val="left"/>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val="en-US" w:eastAsia="zh-CN"/>
        </w:rPr>
        <w:t xml:space="preserve">（二）食宿费、交通费 </w:t>
      </w:r>
    </w:p>
    <w:p w14:paraId="32560A36">
      <w:pPr>
        <w:keepNext w:val="0"/>
        <w:keepLines w:val="0"/>
        <w:pageBreakBefore w:val="0"/>
        <w:widowControl w:val="0"/>
        <w:suppressLineNumbers w:val="0"/>
        <w:kinsoku/>
        <w:wordWrap/>
        <w:overflowPunct/>
        <w:topLinePunct w:val="0"/>
        <w:bidi w:val="0"/>
        <w:spacing w:line="560" w:lineRule="exact"/>
        <w:ind w:firstLine="640" w:firstLineChars="200"/>
        <w:jc w:val="left"/>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color w:val="000000"/>
          <w:kern w:val="0"/>
          <w:sz w:val="32"/>
          <w:szCs w:val="32"/>
          <w:lang w:val="en-US" w:eastAsia="zh-CN" w:bidi="ar"/>
        </w:rPr>
        <w:t>参赛单位往返交通费、食宿费及其他费用自理。</w:t>
      </w:r>
    </w:p>
    <w:p w14:paraId="5F3277F3">
      <w:pPr>
        <w:keepNext w:val="0"/>
        <w:keepLines w:val="0"/>
        <w:pageBreakBefore w:val="0"/>
        <w:widowControl w:val="0"/>
        <w:kinsoku/>
        <w:wordWrap/>
        <w:overflowPunct/>
        <w:topLinePunct w:val="0"/>
        <w:bidi w:val="0"/>
        <w:spacing w:line="56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三</w:t>
      </w:r>
      <w:r>
        <w:rPr>
          <w:rFonts w:hint="eastAsia" w:ascii="黑体" w:hAnsi="黑体" w:eastAsia="黑体" w:cs="黑体"/>
          <w:sz w:val="32"/>
          <w:szCs w:val="32"/>
        </w:rPr>
        <w:t>、规</w:t>
      </w:r>
      <w:r>
        <w:rPr>
          <w:rFonts w:hint="eastAsia" w:ascii="黑体" w:hAnsi="黑体" w:eastAsia="黑体" w:cs="黑体"/>
          <w:b w:val="0"/>
          <w:bCs w:val="0"/>
          <w:sz w:val="32"/>
          <w:szCs w:val="32"/>
        </w:rPr>
        <w:t>程解释</w:t>
      </w:r>
      <w:r>
        <w:rPr>
          <w:rFonts w:hint="eastAsia" w:ascii="黑体" w:hAnsi="黑体" w:eastAsia="黑体" w:cs="黑体"/>
          <w:sz w:val="32"/>
          <w:szCs w:val="32"/>
        </w:rPr>
        <w:t>权归大会组委会。</w:t>
      </w:r>
    </w:p>
    <w:p w14:paraId="2E30949F">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组委会联系人及电话：</w:t>
      </w:r>
      <w:r>
        <w:rPr>
          <w:rFonts w:hint="eastAsia" w:ascii="Times New Roman" w:hAnsi="Times New Roman" w:eastAsia="仿宋_GB2312" w:cs="仿宋_GB2312"/>
          <w:sz w:val="32"/>
          <w:szCs w:val="32"/>
          <w:lang w:val="en-US" w:eastAsia="zh-CN"/>
        </w:rPr>
        <w:t>王劲松 15774676666</w:t>
      </w:r>
    </w:p>
    <w:p w14:paraId="676BD8A5">
      <w:pPr>
        <w:keepNext w:val="0"/>
        <w:keepLines w:val="0"/>
        <w:pageBreakBefore w:val="0"/>
        <w:widowControl w:val="0"/>
        <w:kinsoku/>
        <w:wordWrap/>
        <w:overflowPunct/>
        <w:topLinePunct w:val="0"/>
        <w:bidi w:val="0"/>
        <w:spacing w:line="560" w:lineRule="exact"/>
        <w:ind w:firstLine="640" w:firstLineChars="200"/>
        <w:jc w:val="left"/>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承办单位联系人及电话：刘丹 13091886666</w:t>
      </w:r>
    </w:p>
    <w:p w14:paraId="2AD97712">
      <w:pPr>
        <w:keepNext w:val="0"/>
        <w:keepLines w:val="0"/>
        <w:pageBreakBefore w:val="0"/>
        <w:widowControl w:val="0"/>
        <w:kinsoku/>
        <w:wordWrap/>
        <w:overflowPunct/>
        <w:topLinePunct w:val="0"/>
        <w:bidi w:val="0"/>
        <w:spacing w:line="560" w:lineRule="exact"/>
        <w:ind w:firstLine="640" w:firstLineChars="200"/>
        <w:jc w:val="left"/>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竞赛联系人及电话：纠延红 15645101311</w:t>
      </w:r>
    </w:p>
    <w:p w14:paraId="433F92AD">
      <w:pPr>
        <w:keepNext w:val="0"/>
        <w:keepLines w:val="0"/>
        <w:pageBreakBefore w:val="0"/>
        <w:widowControl w:val="0"/>
        <w:kinsoku/>
        <w:wordWrap/>
        <w:overflowPunct/>
        <w:topLinePunct w:val="0"/>
        <w:bidi w:val="0"/>
        <w:spacing w:line="560" w:lineRule="exact"/>
        <w:ind w:firstLine="640" w:firstLineChars="200"/>
        <w:jc w:val="left"/>
        <w:rPr>
          <w:rFonts w:hint="default" w:ascii="黑体" w:hAnsi="黑体" w:eastAsia="黑体" w:cs="黑体"/>
          <w:b w:val="0"/>
          <w:bCs w:val="0"/>
          <w:sz w:val="32"/>
          <w:szCs w:val="32"/>
          <w:lang w:val="en-US" w:eastAsia="zh-CN"/>
        </w:rPr>
        <w:sectPr>
          <w:footerReference r:id="rId3" w:type="default"/>
          <w:pgSz w:w="11906" w:h="16838"/>
          <w:pgMar w:top="2098" w:right="1474" w:bottom="1984" w:left="1587" w:header="851" w:footer="992" w:gutter="0"/>
          <w:pgNumType w:fmt="decimal" w:start="1"/>
          <w:cols w:space="720" w:num="1"/>
          <w:docGrid w:type="lines" w:linePitch="439" w:charSpace="0"/>
        </w:sectPr>
      </w:pPr>
      <w:r>
        <w:rPr>
          <w:rFonts w:hint="eastAsia" w:ascii="黑体" w:hAnsi="黑体" w:eastAsia="黑体" w:cs="黑体"/>
          <w:b w:val="0"/>
          <w:bCs w:val="0"/>
          <w:sz w:val="32"/>
          <w:szCs w:val="32"/>
          <w:lang w:val="en-US" w:eastAsia="zh-CN"/>
        </w:rPr>
        <w:t>十四、未尽事宜，另行通知。</w:t>
      </w:r>
    </w:p>
    <w:p w14:paraId="18C26E75">
      <w:pPr>
        <w:spacing w:line="240" w:lineRule="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rPr>
        <w:t>附件</w:t>
      </w:r>
      <w:r>
        <w:rPr>
          <w:rFonts w:hint="eastAsia" w:ascii="黑体" w:hAnsi="黑体" w:eastAsia="黑体" w:cs="黑体"/>
          <w:b w:val="0"/>
          <w:bCs/>
          <w:sz w:val="32"/>
          <w:szCs w:val="32"/>
          <w:lang w:val="en-US" w:eastAsia="zh-CN"/>
        </w:rPr>
        <w:t>2</w:t>
      </w:r>
    </w:p>
    <w:p w14:paraId="206F0894">
      <w:pPr>
        <w:keepNext w:val="0"/>
        <w:keepLines w:val="0"/>
        <w:pageBreakBefore w:val="0"/>
        <w:widowControl w:val="0"/>
        <w:kinsoku/>
        <w:wordWrap/>
        <w:overflowPunct/>
        <w:topLinePunct w:val="0"/>
        <w:bidi w:val="0"/>
        <w:spacing w:line="560" w:lineRule="exact"/>
        <w:jc w:val="center"/>
        <w:textAlignment w:val="auto"/>
        <w:rPr>
          <w:rFonts w:hint="eastAsia" w:ascii="方正小标宋简体" w:hAnsi="方正小标宋简体" w:eastAsia="方正小标宋简体" w:cs="方正小标宋简体"/>
          <w:color w:val="222222"/>
          <w:spacing w:val="0"/>
          <w:sz w:val="44"/>
          <w:szCs w:val="44"/>
          <w:lang w:val="en-US" w:eastAsia="zh-CN"/>
        </w:rPr>
      </w:pPr>
      <w:r>
        <w:rPr>
          <w:rFonts w:hint="eastAsia" w:ascii="方正小标宋简体" w:hAnsi="方正小标宋简体" w:eastAsia="方正小标宋简体" w:cs="方正小标宋简体"/>
          <w:color w:val="222222"/>
          <w:spacing w:val="0"/>
          <w:sz w:val="44"/>
          <w:szCs w:val="44"/>
          <w:lang w:val="en-US" w:eastAsia="zh-CN"/>
        </w:rPr>
        <w:t>2026年黑龙江省大</w:t>
      </w:r>
      <w:r>
        <w:rPr>
          <w:rFonts w:hint="eastAsia" w:ascii="方正小标宋简体" w:hAnsi="方正小标宋简体" w:eastAsia="方正小标宋简体" w:cs="方正小标宋简体"/>
          <w:color w:val="222222"/>
          <w:spacing w:val="0"/>
          <w:sz w:val="44"/>
          <w:szCs w:val="44"/>
        </w:rPr>
        <w:t>学生游泳</w:t>
      </w:r>
      <w:r>
        <w:rPr>
          <w:rFonts w:hint="eastAsia" w:ascii="方正小标宋简体" w:hAnsi="方正小标宋简体" w:eastAsia="方正小标宋简体" w:cs="方正小标宋简体"/>
          <w:color w:val="222222"/>
          <w:spacing w:val="0"/>
          <w:sz w:val="44"/>
          <w:szCs w:val="44"/>
          <w:lang w:val="en-US" w:eastAsia="zh-CN"/>
        </w:rPr>
        <w:t>锦标赛</w:t>
      </w:r>
    </w:p>
    <w:p w14:paraId="00B71162">
      <w:pPr>
        <w:keepNext w:val="0"/>
        <w:keepLines w:val="0"/>
        <w:pageBreakBefore w:val="0"/>
        <w:widowControl w:val="0"/>
        <w:kinsoku/>
        <w:wordWrap/>
        <w:overflowPunct/>
        <w:topLinePunct w:val="0"/>
        <w:bidi w:val="0"/>
        <w:spacing w:line="560" w:lineRule="exact"/>
        <w:jc w:val="center"/>
        <w:textAlignment w:val="auto"/>
        <w:rPr>
          <w:rFonts w:hint="eastAsia" w:ascii="方正小标宋简体" w:hAnsi="方正小标宋简体" w:eastAsia="方正小标宋简体" w:cs="方正小标宋简体"/>
          <w:color w:val="222222"/>
          <w:spacing w:val="0"/>
          <w:sz w:val="44"/>
          <w:szCs w:val="44"/>
        </w:rPr>
      </w:pPr>
      <w:r>
        <w:rPr>
          <w:rFonts w:hint="eastAsia" w:ascii="方正小标宋简体" w:hAnsi="方正小标宋简体" w:eastAsia="方正小标宋简体" w:cs="方正小标宋简体"/>
          <w:color w:val="222222"/>
          <w:spacing w:val="0"/>
          <w:sz w:val="44"/>
          <w:szCs w:val="44"/>
        </w:rPr>
        <w:t>报名表</w:t>
      </w:r>
    </w:p>
    <w:p w14:paraId="0A229B2C">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）组报名单</w:t>
      </w:r>
    </w:p>
    <w:p w14:paraId="6CA78DCC">
      <w:pPr>
        <w:spacing w:line="240" w:lineRule="auto"/>
        <w:jc w:val="left"/>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参赛学校：               </w:t>
      </w:r>
      <w:r>
        <w:rPr>
          <w:rFonts w:hint="eastAsia" w:ascii="仿宋_GB2312" w:hAnsi="仿宋_GB2312" w:eastAsia="仿宋_GB2312" w:cs="仿宋_GB2312"/>
          <w:b w:val="0"/>
          <w:bCs/>
          <w:spacing w:val="35"/>
          <w:kern w:val="0"/>
          <w:sz w:val="28"/>
          <w:szCs w:val="28"/>
          <w:fitText w:val="1400" w:id="253572216"/>
        </w:rPr>
        <w:t>领  队</w:t>
      </w:r>
      <w:r>
        <w:rPr>
          <w:rFonts w:hint="eastAsia" w:ascii="仿宋_GB2312" w:hAnsi="仿宋_GB2312" w:eastAsia="仿宋_GB2312" w:cs="仿宋_GB2312"/>
          <w:b w:val="0"/>
          <w:bCs/>
          <w:spacing w:val="0"/>
          <w:kern w:val="0"/>
          <w:sz w:val="28"/>
          <w:szCs w:val="28"/>
          <w:fitText w:val="1400" w:id="253572216"/>
        </w:rPr>
        <w:t>：</w:t>
      </w:r>
      <w:r>
        <w:rPr>
          <w:rFonts w:hint="eastAsia" w:ascii="仿宋_GB2312" w:hAnsi="仿宋_GB2312" w:eastAsia="仿宋_GB2312" w:cs="仿宋_GB2312"/>
          <w:b w:val="0"/>
          <w:bCs/>
          <w:sz w:val="28"/>
          <w:szCs w:val="28"/>
        </w:rPr>
        <w:t xml:space="preserve">  </w:t>
      </w:r>
      <w:r>
        <w:rPr>
          <w:rFonts w:hint="eastAsia" w:ascii="仿宋_GB2312" w:hAnsi="仿宋_GB2312" w:eastAsia="仿宋_GB2312" w:cs="仿宋_GB2312"/>
          <w:b w:val="0"/>
          <w:bCs/>
          <w:sz w:val="28"/>
          <w:szCs w:val="28"/>
          <w:lang w:val="en-US" w:eastAsia="zh-CN"/>
        </w:rPr>
        <w:t xml:space="preserve">    </w:t>
      </w:r>
      <w:r>
        <w:rPr>
          <w:rFonts w:hint="eastAsia" w:ascii="仿宋_GB2312" w:hAnsi="仿宋_GB2312" w:eastAsia="仿宋_GB2312" w:cs="仿宋_GB2312"/>
          <w:b w:val="0"/>
          <w:bCs/>
          <w:sz w:val="28"/>
          <w:szCs w:val="28"/>
        </w:rPr>
        <w:t xml:space="preserve"> </w:t>
      </w:r>
      <w:r>
        <w:rPr>
          <w:rFonts w:hint="eastAsia" w:ascii="仿宋_GB2312" w:hAnsi="仿宋_GB2312" w:eastAsia="仿宋_GB2312" w:cs="仿宋_GB2312"/>
          <w:b w:val="0"/>
          <w:bCs/>
          <w:sz w:val="28"/>
          <w:szCs w:val="28"/>
          <w:lang w:val="en-US" w:eastAsia="zh-CN"/>
        </w:rPr>
        <w:t xml:space="preserve">  </w:t>
      </w:r>
      <w:r>
        <w:rPr>
          <w:rFonts w:hint="eastAsia" w:ascii="仿宋_GB2312" w:hAnsi="仿宋_GB2312" w:eastAsia="仿宋_GB2312" w:cs="仿宋_GB2312"/>
          <w:b w:val="0"/>
          <w:bCs/>
          <w:sz w:val="28"/>
          <w:szCs w:val="28"/>
        </w:rPr>
        <w:t xml:space="preserve">    </w:t>
      </w:r>
      <w:r>
        <w:rPr>
          <w:rFonts w:hint="eastAsia" w:ascii="仿宋_GB2312" w:hAnsi="仿宋_GB2312" w:eastAsia="仿宋_GB2312" w:cs="仿宋_GB2312"/>
          <w:b w:val="0"/>
          <w:bCs/>
          <w:spacing w:val="140"/>
          <w:kern w:val="0"/>
          <w:sz w:val="28"/>
          <w:szCs w:val="28"/>
          <w:fitText w:val="1400" w:id="1027497267"/>
        </w:rPr>
        <w:t>教练</w:t>
      </w:r>
      <w:r>
        <w:rPr>
          <w:rFonts w:hint="eastAsia" w:ascii="仿宋_GB2312" w:hAnsi="仿宋_GB2312" w:eastAsia="仿宋_GB2312" w:cs="仿宋_GB2312"/>
          <w:b w:val="0"/>
          <w:bCs/>
          <w:spacing w:val="0"/>
          <w:kern w:val="0"/>
          <w:sz w:val="28"/>
          <w:szCs w:val="28"/>
          <w:fitText w:val="1400" w:id="1027497267"/>
        </w:rPr>
        <w:t>：</w:t>
      </w:r>
      <w:r>
        <w:rPr>
          <w:rFonts w:hint="eastAsia" w:ascii="仿宋_GB2312" w:hAnsi="仿宋_GB2312" w:eastAsia="仿宋_GB2312" w:cs="仿宋_GB2312"/>
          <w:b w:val="0"/>
          <w:bCs/>
          <w:sz w:val="28"/>
          <w:szCs w:val="28"/>
        </w:rPr>
        <w:t xml:space="preserve">                   </w:t>
      </w:r>
      <w:r>
        <w:rPr>
          <w:rFonts w:hint="eastAsia" w:ascii="仿宋_GB2312" w:hAnsi="仿宋_GB2312" w:eastAsia="仿宋_GB2312" w:cs="仿宋_GB2312"/>
          <w:b w:val="0"/>
          <w:bCs/>
          <w:spacing w:val="46"/>
          <w:kern w:val="0"/>
          <w:sz w:val="28"/>
          <w:szCs w:val="28"/>
          <w:fitText w:val="1400" w:id="1898596679"/>
        </w:rPr>
        <w:t>联系人</w:t>
      </w:r>
      <w:r>
        <w:rPr>
          <w:rFonts w:hint="eastAsia" w:ascii="仿宋_GB2312" w:hAnsi="仿宋_GB2312" w:eastAsia="仿宋_GB2312" w:cs="仿宋_GB2312"/>
          <w:b w:val="0"/>
          <w:bCs/>
          <w:spacing w:val="2"/>
          <w:kern w:val="0"/>
          <w:sz w:val="28"/>
          <w:szCs w:val="28"/>
          <w:fitText w:val="1400" w:id="1898596679"/>
        </w:rPr>
        <w:t>：</w:t>
      </w:r>
      <w:r>
        <w:rPr>
          <w:rFonts w:hint="eastAsia" w:ascii="仿宋_GB2312" w:hAnsi="仿宋_GB2312" w:eastAsia="仿宋_GB2312" w:cs="仿宋_GB2312"/>
          <w:b w:val="0"/>
          <w:bCs/>
          <w:sz w:val="28"/>
          <w:szCs w:val="28"/>
        </w:rPr>
        <w:t xml:space="preserve">               联系方式： </w:t>
      </w:r>
    </w:p>
    <w:tbl>
      <w:tblPr>
        <w:tblStyle w:val="7"/>
        <w:tblW w:w="10214" w:type="dxa"/>
        <w:tblInd w:w="-721" w:type="dxa"/>
        <w:tblLayout w:type="fixed"/>
        <w:tblCellMar>
          <w:top w:w="0" w:type="dxa"/>
          <w:left w:w="108" w:type="dxa"/>
          <w:bottom w:w="0" w:type="dxa"/>
          <w:right w:w="108" w:type="dxa"/>
        </w:tblCellMar>
      </w:tblPr>
      <w:tblGrid>
        <w:gridCol w:w="873"/>
        <w:gridCol w:w="1306"/>
        <w:gridCol w:w="924"/>
        <w:gridCol w:w="2121"/>
        <w:gridCol w:w="1275"/>
        <w:gridCol w:w="1134"/>
        <w:gridCol w:w="1560"/>
        <w:gridCol w:w="1021"/>
      </w:tblGrid>
      <w:tr w14:paraId="1C85C154">
        <w:tblPrEx>
          <w:tblCellMar>
            <w:top w:w="0" w:type="dxa"/>
            <w:left w:w="108" w:type="dxa"/>
            <w:bottom w:w="0" w:type="dxa"/>
            <w:right w:w="108" w:type="dxa"/>
          </w:tblCellMar>
        </w:tblPrEx>
        <w:trPr>
          <w:trHeight w:val="494" w:hRule="atLeast"/>
        </w:trPr>
        <w:tc>
          <w:tcPr>
            <w:tcW w:w="873" w:type="dxa"/>
            <w:tcBorders>
              <w:top w:val="single" w:color="auto" w:sz="4" w:space="0"/>
              <w:left w:val="single" w:color="auto" w:sz="4" w:space="0"/>
              <w:bottom w:val="single" w:color="auto" w:sz="4" w:space="0"/>
              <w:right w:val="single" w:color="auto" w:sz="4" w:space="0"/>
            </w:tcBorders>
            <w:noWrap/>
            <w:vAlign w:val="center"/>
          </w:tcPr>
          <w:p w14:paraId="72F7B3E5">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序号</w:t>
            </w:r>
          </w:p>
        </w:tc>
        <w:tc>
          <w:tcPr>
            <w:tcW w:w="1306" w:type="dxa"/>
            <w:tcBorders>
              <w:top w:val="single" w:color="auto" w:sz="4" w:space="0"/>
              <w:left w:val="single" w:color="auto" w:sz="4" w:space="0"/>
              <w:bottom w:val="nil"/>
              <w:right w:val="single" w:color="808080" w:sz="4" w:space="0"/>
            </w:tcBorders>
            <w:noWrap/>
            <w:vAlign w:val="center"/>
          </w:tcPr>
          <w:p w14:paraId="23BD4643">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姓名</w:t>
            </w:r>
          </w:p>
        </w:tc>
        <w:tc>
          <w:tcPr>
            <w:tcW w:w="924" w:type="dxa"/>
            <w:tcBorders>
              <w:top w:val="single" w:color="auto" w:sz="4" w:space="0"/>
              <w:left w:val="nil"/>
              <w:bottom w:val="nil"/>
              <w:right w:val="single" w:color="808080" w:sz="4" w:space="0"/>
            </w:tcBorders>
            <w:noWrap/>
            <w:vAlign w:val="center"/>
          </w:tcPr>
          <w:p w14:paraId="2F3D4BBD">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性别</w:t>
            </w:r>
          </w:p>
        </w:tc>
        <w:tc>
          <w:tcPr>
            <w:tcW w:w="2121" w:type="dxa"/>
            <w:tcBorders>
              <w:top w:val="single" w:color="auto" w:sz="4" w:space="0"/>
              <w:left w:val="nil"/>
              <w:bottom w:val="nil"/>
              <w:right w:val="single" w:color="808080" w:sz="4" w:space="0"/>
            </w:tcBorders>
            <w:noWrap/>
            <w:vAlign w:val="center"/>
          </w:tcPr>
          <w:p w14:paraId="5D8F4B81">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身份证号</w:t>
            </w:r>
          </w:p>
        </w:tc>
        <w:tc>
          <w:tcPr>
            <w:tcW w:w="1275" w:type="dxa"/>
            <w:tcBorders>
              <w:top w:val="single" w:color="auto" w:sz="4" w:space="0"/>
              <w:left w:val="nil"/>
              <w:bottom w:val="nil"/>
              <w:right w:val="single" w:color="808080" w:sz="4" w:space="0"/>
            </w:tcBorders>
            <w:noWrap/>
            <w:vAlign w:val="center"/>
          </w:tcPr>
          <w:p w14:paraId="5D507664">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项目1</w:t>
            </w:r>
          </w:p>
        </w:tc>
        <w:tc>
          <w:tcPr>
            <w:tcW w:w="1134" w:type="dxa"/>
            <w:tcBorders>
              <w:top w:val="single" w:color="auto" w:sz="4" w:space="0"/>
              <w:left w:val="nil"/>
              <w:bottom w:val="nil"/>
              <w:right w:val="single" w:color="808080" w:sz="4" w:space="0"/>
            </w:tcBorders>
            <w:noWrap/>
            <w:vAlign w:val="center"/>
          </w:tcPr>
          <w:p w14:paraId="72DAD50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项目2</w:t>
            </w:r>
          </w:p>
        </w:tc>
        <w:tc>
          <w:tcPr>
            <w:tcW w:w="1560" w:type="dxa"/>
            <w:tcBorders>
              <w:top w:val="single" w:color="auto" w:sz="4" w:space="0"/>
              <w:left w:val="nil"/>
              <w:bottom w:val="nil"/>
              <w:right w:val="single" w:color="auto" w:sz="4" w:space="0"/>
            </w:tcBorders>
            <w:noWrap/>
            <w:vAlign w:val="center"/>
          </w:tcPr>
          <w:p w14:paraId="502C8E85">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接力项目</w:t>
            </w:r>
          </w:p>
        </w:tc>
        <w:tc>
          <w:tcPr>
            <w:tcW w:w="1021" w:type="dxa"/>
            <w:tcBorders>
              <w:top w:val="single" w:color="auto" w:sz="4" w:space="0"/>
              <w:left w:val="nil"/>
              <w:bottom w:val="nil"/>
              <w:right w:val="single" w:color="auto" w:sz="4" w:space="0"/>
            </w:tcBorders>
            <w:vAlign w:val="center"/>
          </w:tcPr>
          <w:p w14:paraId="586457B6">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备注</w:t>
            </w:r>
          </w:p>
        </w:tc>
      </w:tr>
      <w:tr w14:paraId="37ADFAB7">
        <w:tblPrEx>
          <w:tblCellMar>
            <w:top w:w="0" w:type="dxa"/>
            <w:left w:w="108" w:type="dxa"/>
            <w:bottom w:w="0" w:type="dxa"/>
            <w:right w:w="108" w:type="dxa"/>
          </w:tblCellMar>
        </w:tblPrEx>
        <w:trPr>
          <w:trHeight w:val="494" w:hRule="atLeast"/>
        </w:trPr>
        <w:tc>
          <w:tcPr>
            <w:tcW w:w="873" w:type="dxa"/>
            <w:tcBorders>
              <w:top w:val="single" w:color="auto" w:sz="4" w:space="0"/>
              <w:left w:val="single" w:color="auto" w:sz="4" w:space="0"/>
              <w:bottom w:val="single" w:color="auto" w:sz="4" w:space="0"/>
              <w:right w:val="single" w:color="auto" w:sz="4" w:space="0"/>
            </w:tcBorders>
            <w:shd w:val="clear" w:color="FFFFFF" w:fill="FFFFFF"/>
            <w:noWrap/>
            <w:vAlign w:val="center"/>
          </w:tcPr>
          <w:p w14:paraId="52566FA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w:t>
            </w:r>
          </w:p>
        </w:tc>
        <w:tc>
          <w:tcPr>
            <w:tcW w:w="1306" w:type="dxa"/>
            <w:tcBorders>
              <w:top w:val="single" w:color="auto" w:sz="4" w:space="0"/>
              <w:left w:val="nil"/>
              <w:bottom w:val="single" w:color="auto" w:sz="4" w:space="0"/>
              <w:right w:val="single" w:color="auto" w:sz="4" w:space="0"/>
            </w:tcBorders>
            <w:shd w:val="clear" w:color="FFFFFF" w:fill="FFFFFF"/>
            <w:noWrap/>
            <w:vAlign w:val="center"/>
          </w:tcPr>
          <w:p w14:paraId="590760F1">
            <w:pPr>
              <w:spacing w:line="240" w:lineRule="auto"/>
              <w:jc w:val="center"/>
              <w:rPr>
                <w:rFonts w:hint="eastAsia" w:ascii="仿宋_GB2312" w:hAnsi="仿宋_GB2312" w:eastAsia="仿宋_GB2312" w:cs="仿宋_GB2312"/>
                <w:b w:val="0"/>
                <w:bCs/>
                <w:sz w:val="28"/>
                <w:szCs w:val="28"/>
              </w:rPr>
            </w:pPr>
          </w:p>
        </w:tc>
        <w:tc>
          <w:tcPr>
            <w:tcW w:w="924" w:type="dxa"/>
            <w:tcBorders>
              <w:top w:val="single" w:color="auto" w:sz="4" w:space="0"/>
              <w:left w:val="nil"/>
              <w:bottom w:val="single" w:color="auto" w:sz="4" w:space="0"/>
              <w:right w:val="single" w:color="auto" w:sz="4" w:space="0"/>
            </w:tcBorders>
            <w:noWrap/>
            <w:vAlign w:val="center"/>
          </w:tcPr>
          <w:p w14:paraId="0B1EEBA0">
            <w:pPr>
              <w:spacing w:line="240" w:lineRule="auto"/>
              <w:jc w:val="center"/>
              <w:rPr>
                <w:rFonts w:hint="eastAsia" w:ascii="仿宋_GB2312" w:hAnsi="仿宋_GB2312" w:eastAsia="仿宋_GB2312" w:cs="仿宋_GB2312"/>
                <w:b w:val="0"/>
                <w:bCs/>
                <w:sz w:val="28"/>
                <w:szCs w:val="28"/>
              </w:rPr>
            </w:pPr>
          </w:p>
        </w:tc>
        <w:tc>
          <w:tcPr>
            <w:tcW w:w="2121" w:type="dxa"/>
            <w:tcBorders>
              <w:top w:val="single" w:color="auto" w:sz="4" w:space="0"/>
              <w:left w:val="nil"/>
              <w:bottom w:val="single" w:color="auto" w:sz="4" w:space="0"/>
              <w:right w:val="single" w:color="auto" w:sz="4" w:space="0"/>
            </w:tcBorders>
            <w:noWrap/>
            <w:vAlign w:val="center"/>
          </w:tcPr>
          <w:p w14:paraId="3C420615">
            <w:pPr>
              <w:spacing w:line="240" w:lineRule="auto"/>
              <w:jc w:val="center"/>
              <w:rPr>
                <w:rFonts w:hint="eastAsia" w:ascii="仿宋_GB2312" w:hAnsi="仿宋_GB2312" w:eastAsia="仿宋_GB2312" w:cs="仿宋_GB2312"/>
                <w:b w:val="0"/>
                <w:bCs/>
                <w:sz w:val="28"/>
                <w:szCs w:val="28"/>
              </w:rPr>
            </w:pPr>
          </w:p>
        </w:tc>
        <w:tc>
          <w:tcPr>
            <w:tcW w:w="1275" w:type="dxa"/>
            <w:tcBorders>
              <w:top w:val="single" w:color="auto" w:sz="4" w:space="0"/>
              <w:left w:val="nil"/>
              <w:bottom w:val="single" w:color="auto" w:sz="4" w:space="0"/>
              <w:right w:val="single" w:color="auto" w:sz="4" w:space="0"/>
            </w:tcBorders>
            <w:noWrap/>
            <w:vAlign w:val="center"/>
          </w:tcPr>
          <w:p w14:paraId="4BF02CDE">
            <w:pPr>
              <w:spacing w:line="240" w:lineRule="auto"/>
              <w:jc w:val="center"/>
              <w:rPr>
                <w:rFonts w:hint="eastAsia" w:ascii="仿宋_GB2312" w:hAnsi="仿宋_GB2312" w:eastAsia="仿宋_GB2312" w:cs="仿宋_GB2312"/>
                <w:b w:val="0"/>
                <w:bCs/>
                <w:sz w:val="28"/>
                <w:szCs w:val="28"/>
              </w:rPr>
            </w:pPr>
          </w:p>
        </w:tc>
        <w:tc>
          <w:tcPr>
            <w:tcW w:w="1134" w:type="dxa"/>
            <w:tcBorders>
              <w:top w:val="single" w:color="auto" w:sz="4" w:space="0"/>
              <w:left w:val="nil"/>
              <w:bottom w:val="single" w:color="auto" w:sz="4" w:space="0"/>
              <w:right w:val="single" w:color="auto" w:sz="4" w:space="0"/>
            </w:tcBorders>
            <w:noWrap/>
            <w:vAlign w:val="center"/>
          </w:tcPr>
          <w:p w14:paraId="57F6274D">
            <w:pPr>
              <w:spacing w:line="240" w:lineRule="auto"/>
              <w:jc w:val="center"/>
              <w:rPr>
                <w:rFonts w:hint="eastAsia" w:ascii="仿宋_GB2312" w:hAnsi="仿宋_GB2312" w:eastAsia="仿宋_GB2312" w:cs="仿宋_GB2312"/>
                <w:b w:val="0"/>
                <w:bCs/>
                <w:sz w:val="28"/>
                <w:szCs w:val="28"/>
              </w:rPr>
            </w:pPr>
          </w:p>
        </w:tc>
        <w:tc>
          <w:tcPr>
            <w:tcW w:w="1560" w:type="dxa"/>
            <w:tcBorders>
              <w:top w:val="single" w:color="auto" w:sz="4" w:space="0"/>
              <w:left w:val="nil"/>
              <w:bottom w:val="single" w:color="auto" w:sz="4" w:space="0"/>
              <w:right w:val="single" w:color="auto" w:sz="4" w:space="0"/>
            </w:tcBorders>
            <w:noWrap/>
            <w:vAlign w:val="center"/>
          </w:tcPr>
          <w:p w14:paraId="194E88F8">
            <w:pPr>
              <w:spacing w:line="240" w:lineRule="auto"/>
              <w:jc w:val="center"/>
              <w:rPr>
                <w:rFonts w:hint="eastAsia" w:ascii="仿宋_GB2312" w:hAnsi="仿宋_GB2312" w:eastAsia="仿宋_GB2312" w:cs="仿宋_GB2312"/>
                <w:b w:val="0"/>
                <w:bCs/>
                <w:sz w:val="28"/>
                <w:szCs w:val="28"/>
              </w:rPr>
            </w:pPr>
          </w:p>
        </w:tc>
        <w:tc>
          <w:tcPr>
            <w:tcW w:w="1021" w:type="dxa"/>
            <w:tcBorders>
              <w:top w:val="single" w:color="auto" w:sz="4" w:space="0"/>
              <w:left w:val="nil"/>
              <w:bottom w:val="single" w:color="auto" w:sz="4" w:space="0"/>
              <w:right w:val="single" w:color="auto" w:sz="4" w:space="0"/>
            </w:tcBorders>
          </w:tcPr>
          <w:p w14:paraId="74E95D52">
            <w:pPr>
              <w:spacing w:line="240" w:lineRule="auto"/>
              <w:jc w:val="center"/>
              <w:rPr>
                <w:rFonts w:hint="eastAsia" w:ascii="仿宋_GB2312" w:hAnsi="仿宋_GB2312" w:eastAsia="仿宋_GB2312" w:cs="仿宋_GB2312"/>
                <w:b w:val="0"/>
                <w:bCs/>
                <w:sz w:val="28"/>
                <w:szCs w:val="28"/>
              </w:rPr>
            </w:pPr>
          </w:p>
        </w:tc>
      </w:tr>
      <w:tr w14:paraId="1048D6AC">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287815EC">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2</w:t>
            </w:r>
          </w:p>
        </w:tc>
        <w:tc>
          <w:tcPr>
            <w:tcW w:w="1306" w:type="dxa"/>
            <w:tcBorders>
              <w:top w:val="nil"/>
              <w:left w:val="nil"/>
              <w:bottom w:val="single" w:color="auto" w:sz="4" w:space="0"/>
              <w:right w:val="single" w:color="auto" w:sz="4" w:space="0"/>
            </w:tcBorders>
            <w:shd w:val="clear" w:color="FFFFFF" w:fill="FFFFFF"/>
            <w:noWrap/>
            <w:vAlign w:val="center"/>
          </w:tcPr>
          <w:p w14:paraId="21EDD79A">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3C74F2C2">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6D91BEB6">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0B4E3BD7">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535A53FD">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4B54E32E">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129C467D">
            <w:pPr>
              <w:spacing w:line="240" w:lineRule="auto"/>
              <w:jc w:val="center"/>
              <w:rPr>
                <w:rFonts w:hint="eastAsia" w:ascii="仿宋_GB2312" w:hAnsi="仿宋_GB2312" w:eastAsia="仿宋_GB2312" w:cs="仿宋_GB2312"/>
                <w:b w:val="0"/>
                <w:bCs/>
                <w:sz w:val="28"/>
                <w:szCs w:val="28"/>
              </w:rPr>
            </w:pPr>
          </w:p>
        </w:tc>
      </w:tr>
      <w:tr w14:paraId="7AE2FC42">
        <w:tblPrEx>
          <w:tblCellMar>
            <w:top w:w="0" w:type="dxa"/>
            <w:left w:w="108" w:type="dxa"/>
            <w:bottom w:w="0" w:type="dxa"/>
            <w:right w:w="108" w:type="dxa"/>
          </w:tblCellMar>
        </w:tblPrEx>
        <w:trPr>
          <w:trHeight w:val="494" w:hRule="atLeast"/>
        </w:trPr>
        <w:tc>
          <w:tcPr>
            <w:tcW w:w="873" w:type="dxa"/>
            <w:tcBorders>
              <w:top w:val="single" w:color="auto" w:sz="4" w:space="0"/>
              <w:left w:val="single" w:color="auto" w:sz="4" w:space="0"/>
              <w:bottom w:val="single" w:color="auto" w:sz="4" w:space="0"/>
              <w:right w:val="single" w:color="auto" w:sz="4" w:space="0"/>
            </w:tcBorders>
            <w:shd w:val="clear" w:color="FFFFFF" w:fill="FFFFFF"/>
            <w:noWrap/>
            <w:vAlign w:val="center"/>
          </w:tcPr>
          <w:p w14:paraId="55602CD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3</w:t>
            </w:r>
          </w:p>
        </w:tc>
        <w:tc>
          <w:tcPr>
            <w:tcW w:w="1306" w:type="dxa"/>
            <w:tcBorders>
              <w:top w:val="single" w:color="auto" w:sz="4" w:space="0"/>
              <w:left w:val="nil"/>
              <w:bottom w:val="single" w:color="auto" w:sz="4" w:space="0"/>
              <w:right w:val="single" w:color="auto" w:sz="4" w:space="0"/>
            </w:tcBorders>
            <w:shd w:val="clear" w:color="FFFFFF" w:fill="FFFFFF"/>
            <w:noWrap/>
            <w:vAlign w:val="center"/>
          </w:tcPr>
          <w:p w14:paraId="65A63D2D">
            <w:pPr>
              <w:spacing w:line="240" w:lineRule="auto"/>
              <w:jc w:val="center"/>
              <w:rPr>
                <w:rFonts w:hint="eastAsia" w:ascii="仿宋_GB2312" w:hAnsi="仿宋_GB2312" w:eastAsia="仿宋_GB2312" w:cs="仿宋_GB2312"/>
                <w:b w:val="0"/>
                <w:bCs/>
                <w:sz w:val="28"/>
                <w:szCs w:val="28"/>
              </w:rPr>
            </w:pPr>
          </w:p>
        </w:tc>
        <w:tc>
          <w:tcPr>
            <w:tcW w:w="924" w:type="dxa"/>
            <w:tcBorders>
              <w:top w:val="single" w:color="auto" w:sz="4" w:space="0"/>
              <w:left w:val="nil"/>
              <w:bottom w:val="single" w:color="auto" w:sz="4" w:space="0"/>
              <w:right w:val="single" w:color="auto" w:sz="4" w:space="0"/>
            </w:tcBorders>
            <w:noWrap/>
            <w:vAlign w:val="center"/>
          </w:tcPr>
          <w:p w14:paraId="3585E335">
            <w:pPr>
              <w:spacing w:line="240" w:lineRule="auto"/>
              <w:jc w:val="center"/>
              <w:rPr>
                <w:rFonts w:hint="eastAsia" w:ascii="仿宋_GB2312" w:hAnsi="仿宋_GB2312" w:eastAsia="仿宋_GB2312" w:cs="仿宋_GB2312"/>
                <w:b w:val="0"/>
                <w:bCs/>
                <w:sz w:val="28"/>
                <w:szCs w:val="28"/>
              </w:rPr>
            </w:pPr>
          </w:p>
        </w:tc>
        <w:tc>
          <w:tcPr>
            <w:tcW w:w="2121" w:type="dxa"/>
            <w:tcBorders>
              <w:top w:val="single" w:color="auto" w:sz="4" w:space="0"/>
              <w:left w:val="nil"/>
              <w:bottom w:val="single" w:color="auto" w:sz="4" w:space="0"/>
              <w:right w:val="single" w:color="auto" w:sz="4" w:space="0"/>
            </w:tcBorders>
            <w:noWrap/>
            <w:vAlign w:val="center"/>
          </w:tcPr>
          <w:p w14:paraId="6C6A2565">
            <w:pPr>
              <w:spacing w:line="240" w:lineRule="auto"/>
              <w:jc w:val="center"/>
              <w:rPr>
                <w:rFonts w:hint="eastAsia" w:ascii="仿宋_GB2312" w:hAnsi="仿宋_GB2312" w:eastAsia="仿宋_GB2312" w:cs="仿宋_GB2312"/>
                <w:b w:val="0"/>
                <w:bCs/>
                <w:sz w:val="28"/>
                <w:szCs w:val="28"/>
              </w:rPr>
            </w:pPr>
          </w:p>
        </w:tc>
        <w:tc>
          <w:tcPr>
            <w:tcW w:w="1275" w:type="dxa"/>
            <w:tcBorders>
              <w:top w:val="single" w:color="auto" w:sz="4" w:space="0"/>
              <w:left w:val="nil"/>
              <w:bottom w:val="single" w:color="auto" w:sz="4" w:space="0"/>
              <w:right w:val="single" w:color="auto" w:sz="4" w:space="0"/>
            </w:tcBorders>
            <w:noWrap/>
            <w:vAlign w:val="center"/>
          </w:tcPr>
          <w:p w14:paraId="3F2975EC">
            <w:pPr>
              <w:spacing w:line="240" w:lineRule="auto"/>
              <w:jc w:val="center"/>
              <w:rPr>
                <w:rFonts w:hint="eastAsia" w:ascii="仿宋_GB2312" w:hAnsi="仿宋_GB2312" w:eastAsia="仿宋_GB2312" w:cs="仿宋_GB2312"/>
                <w:b w:val="0"/>
                <w:bCs/>
                <w:sz w:val="28"/>
                <w:szCs w:val="28"/>
              </w:rPr>
            </w:pPr>
          </w:p>
        </w:tc>
        <w:tc>
          <w:tcPr>
            <w:tcW w:w="1134" w:type="dxa"/>
            <w:tcBorders>
              <w:top w:val="single" w:color="auto" w:sz="4" w:space="0"/>
              <w:left w:val="nil"/>
              <w:bottom w:val="single" w:color="auto" w:sz="4" w:space="0"/>
              <w:right w:val="single" w:color="auto" w:sz="4" w:space="0"/>
            </w:tcBorders>
            <w:noWrap/>
            <w:vAlign w:val="center"/>
          </w:tcPr>
          <w:p w14:paraId="349DBDAB">
            <w:pPr>
              <w:spacing w:line="240" w:lineRule="auto"/>
              <w:jc w:val="center"/>
              <w:rPr>
                <w:rFonts w:hint="eastAsia" w:ascii="仿宋_GB2312" w:hAnsi="仿宋_GB2312" w:eastAsia="仿宋_GB2312" w:cs="仿宋_GB2312"/>
                <w:b w:val="0"/>
                <w:bCs/>
                <w:sz w:val="28"/>
                <w:szCs w:val="28"/>
              </w:rPr>
            </w:pPr>
          </w:p>
        </w:tc>
        <w:tc>
          <w:tcPr>
            <w:tcW w:w="1560" w:type="dxa"/>
            <w:tcBorders>
              <w:top w:val="single" w:color="auto" w:sz="4" w:space="0"/>
              <w:left w:val="nil"/>
              <w:bottom w:val="single" w:color="auto" w:sz="4" w:space="0"/>
              <w:right w:val="single" w:color="auto" w:sz="4" w:space="0"/>
            </w:tcBorders>
            <w:noWrap/>
            <w:vAlign w:val="center"/>
          </w:tcPr>
          <w:p w14:paraId="22822848">
            <w:pPr>
              <w:spacing w:line="240" w:lineRule="auto"/>
              <w:jc w:val="center"/>
              <w:rPr>
                <w:rFonts w:hint="eastAsia" w:ascii="仿宋_GB2312" w:hAnsi="仿宋_GB2312" w:eastAsia="仿宋_GB2312" w:cs="仿宋_GB2312"/>
                <w:b w:val="0"/>
                <w:bCs/>
                <w:sz w:val="28"/>
                <w:szCs w:val="28"/>
              </w:rPr>
            </w:pPr>
          </w:p>
        </w:tc>
        <w:tc>
          <w:tcPr>
            <w:tcW w:w="1021" w:type="dxa"/>
            <w:tcBorders>
              <w:top w:val="single" w:color="auto" w:sz="4" w:space="0"/>
              <w:left w:val="nil"/>
              <w:bottom w:val="single" w:color="auto" w:sz="4" w:space="0"/>
              <w:right w:val="single" w:color="auto" w:sz="4" w:space="0"/>
            </w:tcBorders>
          </w:tcPr>
          <w:p w14:paraId="76501FDB">
            <w:pPr>
              <w:spacing w:line="240" w:lineRule="auto"/>
              <w:jc w:val="center"/>
              <w:rPr>
                <w:rFonts w:hint="eastAsia" w:ascii="仿宋_GB2312" w:hAnsi="仿宋_GB2312" w:eastAsia="仿宋_GB2312" w:cs="仿宋_GB2312"/>
                <w:b w:val="0"/>
                <w:bCs/>
                <w:sz w:val="28"/>
                <w:szCs w:val="28"/>
              </w:rPr>
            </w:pPr>
          </w:p>
        </w:tc>
      </w:tr>
      <w:tr w14:paraId="5D567D82">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70F458CC">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4</w:t>
            </w:r>
          </w:p>
        </w:tc>
        <w:tc>
          <w:tcPr>
            <w:tcW w:w="1306" w:type="dxa"/>
            <w:tcBorders>
              <w:top w:val="nil"/>
              <w:left w:val="nil"/>
              <w:bottom w:val="single" w:color="auto" w:sz="4" w:space="0"/>
              <w:right w:val="single" w:color="auto" w:sz="4" w:space="0"/>
            </w:tcBorders>
            <w:shd w:val="clear" w:color="FFFFFF" w:fill="FFFFFF"/>
            <w:noWrap/>
            <w:vAlign w:val="center"/>
          </w:tcPr>
          <w:p w14:paraId="68FF8ECE">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2F16690D">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09C8E700">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7B52A537">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2C99345B">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0C7A46D3">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49FBD63B">
            <w:pPr>
              <w:spacing w:line="240" w:lineRule="auto"/>
              <w:jc w:val="center"/>
              <w:rPr>
                <w:rFonts w:hint="eastAsia" w:ascii="仿宋_GB2312" w:hAnsi="仿宋_GB2312" w:eastAsia="仿宋_GB2312" w:cs="仿宋_GB2312"/>
                <w:b w:val="0"/>
                <w:bCs/>
                <w:sz w:val="28"/>
                <w:szCs w:val="28"/>
              </w:rPr>
            </w:pPr>
          </w:p>
        </w:tc>
      </w:tr>
      <w:tr w14:paraId="030DBBEE">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5A19C987">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5</w:t>
            </w:r>
          </w:p>
        </w:tc>
        <w:tc>
          <w:tcPr>
            <w:tcW w:w="1306" w:type="dxa"/>
            <w:tcBorders>
              <w:top w:val="nil"/>
              <w:left w:val="nil"/>
              <w:bottom w:val="single" w:color="auto" w:sz="4" w:space="0"/>
              <w:right w:val="single" w:color="auto" w:sz="4" w:space="0"/>
            </w:tcBorders>
            <w:shd w:val="clear" w:color="FFFFFF" w:fill="FFFFFF"/>
            <w:noWrap/>
            <w:vAlign w:val="center"/>
          </w:tcPr>
          <w:p w14:paraId="2A553010">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21219E7F">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21CA28F5">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63920908">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7471636D">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3D003F8A">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4D925D2F">
            <w:pPr>
              <w:spacing w:line="240" w:lineRule="auto"/>
              <w:jc w:val="center"/>
              <w:rPr>
                <w:rFonts w:hint="eastAsia" w:ascii="仿宋_GB2312" w:hAnsi="仿宋_GB2312" w:eastAsia="仿宋_GB2312" w:cs="仿宋_GB2312"/>
                <w:b w:val="0"/>
                <w:bCs/>
                <w:sz w:val="28"/>
                <w:szCs w:val="28"/>
              </w:rPr>
            </w:pPr>
          </w:p>
        </w:tc>
      </w:tr>
      <w:tr w14:paraId="07546626">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40EF437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6</w:t>
            </w:r>
          </w:p>
        </w:tc>
        <w:tc>
          <w:tcPr>
            <w:tcW w:w="1306" w:type="dxa"/>
            <w:tcBorders>
              <w:top w:val="nil"/>
              <w:left w:val="nil"/>
              <w:bottom w:val="single" w:color="auto" w:sz="4" w:space="0"/>
              <w:right w:val="single" w:color="auto" w:sz="4" w:space="0"/>
            </w:tcBorders>
            <w:shd w:val="clear" w:color="FFFFFF" w:fill="FFFFFF"/>
            <w:noWrap/>
            <w:vAlign w:val="center"/>
          </w:tcPr>
          <w:p w14:paraId="35FD3528">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4DED1E17">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1CA83B0A">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7CEDAA92">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44B5AF3B">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09103E95">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4F3D8CEE">
            <w:pPr>
              <w:spacing w:line="240" w:lineRule="auto"/>
              <w:jc w:val="center"/>
              <w:rPr>
                <w:rFonts w:hint="eastAsia" w:ascii="仿宋_GB2312" w:hAnsi="仿宋_GB2312" w:eastAsia="仿宋_GB2312" w:cs="仿宋_GB2312"/>
                <w:b w:val="0"/>
                <w:bCs/>
                <w:sz w:val="28"/>
                <w:szCs w:val="28"/>
              </w:rPr>
            </w:pPr>
          </w:p>
        </w:tc>
      </w:tr>
      <w:tr w14:paraId="4A865F5B">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4BDF718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7</w:t>
            </w:r>
          </w:p>
        </w:tc>
        <w:tc>
          <w:tcPr>
            <w:tcW w:w="1306" w:type="dxa"/>
            <w:tcBorders>
              <w:top w:val="nil"/>
              <w:left w:val="nil"/>
              <w:bottom w:val="single" w:color="auto" w:sz="4" w:space="0"/>
              <w:right w:val="single" w:color="auto" w:sz="4" w:space="0"/>
            </w:tcBorders>
            <w:shd w:val="clear" w:color="FFFFFF" w:fill="FFFFFF"/>
            <w:noWrap/>
            <w:vAlign w:val="center"/>
          </w:tcPr>
          <w:p w14:paraId="561445CD">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62C6B4EB">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7C178757">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2DB00AFE">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55A28BD0">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57DA86B9">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756F5114">
            <w:pPr>
              <w:spacing w:line="240" w:lineRule="auto"/>
              <w:jc w:val="center"/>
              <w:rPr>
                <w:rFonts w:hint="eastAsia" w:ascii="仿宋_GB2312" w:hAnsi="仿宋_GB2312" w:eastAsia="仿宋_GB2312" w:cs="仿宋_GB2312"/>
                <w:b w:val="0"/>
                <w:bCs/>
                <w:sz w:val="28"/>
                <w:szCs w:val="28"/>
              </w:rPr>
            </w:pPr>
          </w:p>
        </w:tc>
      </w:tr>
      <w:tr w14:paraId="627BC6B8">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2004FFE6">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8</w:t>
            </w:r>
          </w:p>
        </w:tc>
        <w:tc>
          <w:tcPr>
            <w:tcW w:w="1306" w:type="dxa"/>
            <w:tcBorders>
              <w:top w:val="nil"/>
              <w:left w:val="nil"/>
              <w:bottom w:val="single" w:color="auto" w:sz="4" w:space="0"/>
              <w:right w:val="single" w:color="auto" w:sz="4" w:space="0"/>
            </w:tcBorders>
            <w:shd w:val="clear" w:color="FFFFFF" w:fill="FFFFFF"/>
            <w:noWrap/>
            <w:vAlign w:val="center"/>
          </w:tcPr>
          <w:p w14:paraId="7AD9EC39">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15484676">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10C3EB2C">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4721A358">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70842ED3">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1A0535E9">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54F1FCCA">
            <w:pPr>
              <w:spacing w:line="240" w:lineRule="auto"/>
              <w:jc w:val="center"/>
              <w:rPr>
                <w:rFonts w:hint="eastAsia" w:ascii="仿宋_GB2312" w:hAnsi="仿宋_GB2312" w:eastAsia="仿宋_GB2312" w:cs="仿宋_GB2312"/>
                <w:b w:val="0"/>
                <w:bCs/>
                <w:sz w:val="28"/>
                <w:szCs w:val="28"/>
              </w:rPr>
            </w:pPr>
          </w:p>
        </w:tc>
      </w:tr>
      <w:tr w14:paraId="1177EA23">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41836BEB">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9</w:t>
            </w:r>
          </w:p>
        </w:tc>
        <w:tc>
          <w:tcPr>
            <w:tcW w:w="1306" w:type="dxa"/>
            <w:tcBorders>
              <w:top w:val="nil"/>
              <w:left w:val="nil"/>
              <w:bottom w:val="single" w:color="auto" w:sz="4" w:space="0"/>
              <w:right w:val="single" w:color="auto" w:sz="4" w:space="0"/>
            </w:tcBorders>
            <w:shd w:val="clear" w:color="FFFFFF" w:fill="FFFFFF"/>
            <w:noWrap/>
            <w:vAlign w:val="center"/>
          </w:tcPr>
          <w:p w14:paraId="69CFDF80">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66BE1620">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2563C7A8">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7FEF3F6F">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18618980">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70E4B6DC">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1147FB14">
            <w:pPr>
              <w:spacing w:line="240" w:lineRule="auto"/>
              <w:jc w:val="center"/>
              <w:rPr>
                <w:rFonts w:hint="eastAsia" w:ascii="仿宋_GB2312" w:hAnsi="仿宋_GB2312" w:eastAsia="仿宋_GB2312" w:cs="仿宋_GB2312"/>
                <w:b w:val="0"/>
                <w:bCs/>
                <w:sz w:val="28"/>
                <w:szCs w:val="28"/>
              </w:rPr>
            </w:pPr>
          </w:p>
        </w:tc>
      </w:tr>
      <w:tr w14:paraId="5862DE24">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405DF936">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10</w:t>
            </w:r>
          </w:p>
        </w:tc>
        <w:tc>
          <w:tcPr>
            <w:tcW w:w="1306" w:type="dxa"/>
            <w:tcBorders>
              <w:top w:val="nil"/>
              <w:left w:val="nil"/>
              <w:bottom w:val="single" w:color="auto" w:sz="4" w:space="0"/>
              <w:right w:val="single" w:color="auto" w:sz="4" w:space="0"/>
            </w:tcBorders>
            <w:shd w:val="clear" w:color="FFFFFF" w:fill="FFFFFF"/>
            <w:noWrap/>
            <w:vAlign w:val="center"/>
          </w:tcPr>
          <w:p w14:paraId="702E64CE">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3EDE2B05">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6C254624">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6D00BF6C">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50BC8540">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6B50BB31">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132A49EE">
            <w:pPr>
              <w:spacing w:line="240" w:lineRule="auto"/>
              <w:jc w:val="center"/>
              <w:rPr>
                <w:rFonts w:hint="eastAsia" w:ascii="仿宋_GB2312" w:hAnsi="仿宋_GB2312" w:eastAsia="仿宋_GB2312" w:cs="仿宋_GB2312"/>
                <w:b w:val="0"/>
                <w:bCs/>
                <w:sz w:val="28"/>
                <w:szCs w:val="28"/>
              </w:rPr>
            </w:pPr>
          </w:p>
        </w:tc>
      </w:tr>
      <w:tr w14:paraId="7A82856F">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63F0EB22">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11</w:t>
            </w:r>
          </w:p>
        </w:tc>
        <w:tc>
          <w:tcPr>
            <w:tcW w:w="1306" w:type="dxa"/>
            <w:tcBorders>
              <w:top w:val="nil"/>
              <w:left w:val="nil"/>
              <w:bottom w:val="single" w:color="auto" w:sz="4" w:space="0"/>
              <w:right w:val="single" w:color="auto" w:sz="4" w:space="0"/>
            </w:tcBorders>
            <w:shd w:val="clear" w:color="FFFFFF" w:fill="FFFFFF"/>
            <w:noWrap/>
            <w:vAlign w:val="center"/>
          </w:tcPr>
          <w:p w14:paraId="2C79724F">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4A231D4F">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40284D05">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651F932E">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075E27CD">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4229A004">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51EC8A4D">
            <w:pPr>
              <w:spacing w:line="240" w:lineRule="auto"/>
              <w:jc w:val="center"/>
              <w:rPr>
                <w:rFonts w:hint="eastAsia" w:ascii="仿宋_GB2312" w:hAnsi="仿宋_GB2312" w:eastAsia="仿宋_GB2312" w:cs="仿宋_GB2312"/>
                <w:b w:val="0"/>
                <w:bCs/>
                <w:sz w:val="28"/>
                <w:szCs w:val="28"/>
              </w:rPr>
            </w:pPr>
          </w:p>
        </w:tc>
      </w:tr>
      <w:tr w14:paraId="5AA36DB8">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7C45EEE1">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12</w:t>
            </w:r>
          </w:p>
        </w:tc>
        <w:tc>
          <w:tcPr>
            <w:tcW w:w="1306" w:type="dxa"/>
            <w:tcBorders>
              <w:top w:val="nil"/>
              <w:left w:val="nil"/>
              <w:bottom w:val="single" w:color="auto" w:sz="4" w:space="0"/>
              <w:right w:val="single" w:color="auto" w:sz="4" w:space="0"/>
            </w:tcBorders>
            <w:shd w:val="clear" w:color="FFFFFF" w:fill="FFFFFF"/>
            <w:noWrap/>
            <w:vAlign w:val="center"/>
          </w:tcPr>
          <w:p w14:paraId="21EA1BCF">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2D39A799">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17DF526E">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6D6A0220">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16E0805C">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3DA91147">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1A08B20D">
            <w:pPr>
              <w:spacing w:line="240" w:lineRule="auto"/>
              <w:jc w:val="center"/>
              <w:rPr>
                <w:rFonts w:hint="eastAsia" w:ascii="仿宋_GB2312" w:hAnsi="仿宋_GB2312" w:eastAsia="仿宋_GB2312" w:cs="仿宋_GB2312"/>
                <w:b w:val="0"/>
                <w:bCs/>
                <w:sz w:val="28"/>
                <w:szCs w:val="28"/>
              </w:rPr>
            </w:pPr>
          </w:p>
        </w:tc>
      </w:tr>
      <w:tr w14:paraId="0B3A38B6">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4AB5133F">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13</w:t>
            </w:r>
          </w:p>
        </w:tc>
        <w:tc>
          <w:tcPr>
            <w:tcW w:w="1306" w:type="dxa"/>
            <w:tcBorders>
              <w:top w:val="nil"/>
              <w:left w:val="nil"/>
              <w:bottom w:val="single" w:color="auto" w:sz="4" w:space="0"/>
              <w:right w:val="single" w:color="auto" w:sz="4" w:space="0"/>
            </w:tcBorders>
            <w:shd w:val="clear" w:color="FFFFFF" w:fill="FFFFFF"/>
            <w:noWrap/>
            <w:vAlign w:val="center"/>
          </w:tcPr>
          <w:p w14:paraId="1FB024D7">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4382147C">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7058C4B7">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187FA15C">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735E0A14">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79B5A24A">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481FE8FE">
            <w:pPr>
              <w:spacing w:line="240" w:lineRule="auto"/>
              <w:jc w:val="center"/>
              <w:rPr>
                <w:rFonts w:hint="eastAsia" w:ascii="仿宋_GB2312" w:hAnsi="仿宋_GB2312" w:eastAsia="仿宋_GB2312" w:cs="仿宋_GB2312"/>
                <w:b w:val="0"/>
                <w:bCs/>
                <w:sz w:val="28"/>
                <w:szCs w:val="28"/>
              </w:rPr>
            </w:pPr>
          </w:p>
        </w:tc>
      </w:tr>
      <w:tr w14:paraId="3CD75A23">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539E48D3">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14</w:t>
            </w:r>
          </w:p>
        </w:tc>
        <w:tc>
          <w:tcPr>
            <w:tcW w:w="1306" w:type="dxa"/>
            <w:tcBorders>
              <w:top w:val="nil"/>
              <w:left w:val="nil"/>
              <w:bottom w:val="single" w:color="auto" w:sz="4" w:space="0"/>
              <w:right w:val="single" w:color="auto" w:sz="4" w:space="0"/>
            </w:tcBorders>
            <w:noWrap/>
            <w:vAlign w:val="center"/>
          </w:tcPr>
          <w:p w14:paraId="7A5CB505">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51997002">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066AEBD9">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4EE6A59E">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016C8AAD">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3C10AE05">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66F0BEDF">
            <w:pPr>
              <w:spacing w:line="240" w:lineRule="auto"/>
              <w:jc w:val="center"/>
              <w:rPr>
                <w:rFonts w:hint="eastAsia" w:ascii="仿宋_GB2312" w:hAnsi="仿宋_GB2312" w:eastAsia="仿宋_GB2312" w:cs="仿宋_GB2312"/>
                <w:b w:val="0"/>
                <w:bCs/>
                <w:sz w:val="28"/>
                <w:szCs w:val="28"/>
              </w:rPr>
            </w:pPr>
          </w:p>
        </w:tc>
      </w:tr>
      <w:tr w14:paraId="364CE296">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2CA9C47C">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15</w:t>
            </w:r>
          </w:p>
        </w:tc>
        <w:tc>
          <w:tcPr>
            <w:tcW w:w="1306" w:type="dxa"/>
            <w:tcBorders>
              <w:top w:val="nil"/>
              <w:left w:val="nil"/>
              <w:bottom w:val="single" w:color="auto" w:sz="4" w:space="0"/>
              <w:right w:val="single" w:color="auto" w:sz="4" w:space="0"/>
            </w:tcBorders>
            <w:noWrap/>
            <w:vAlign w:val="center"/>
          </w:tcPr>
          <w:p w14:paraId="07E3A5BD">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4359EB39">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6BA1BFF2">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374DA9BD">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39759732">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6F362357">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0AF6BA11">
            <w:pPr>
              <w:spacing w:line="240" w:lineRule="auto"/>
              <w:jc w:val="center"/>
              <w:rPr>
                <w:rFonts w:hint="eastAsia" w:ascii="仿宋_GB2312" w:hAnsi="仿宋_GB2312" w:eastAsia="仿宋_GB2312" w:cs="仿宋_GB2312"/>
                <w:b w:val="0"/>
                <w:bCs/>
                <w:sz w:val="28"/>
                <w:szCs w:val="28"/>
              </w:rPr>
            </w:pPr>
          </w:p>
        </w:tc>
      </w:tr>
      <w:tr w14:paraId="6B343607">
        <w:tblPrEx>
          <w:tblCellMar>
            <w:top w:w="0" w:type="dxa"/>
            <w:left w:w="108" w:type="dxa"/>
            <w:bottom w:w="0" w:type="dxa"/>
            <w:right w:w="108" w:type="dxa"/>
          </w:tblCellMar>
        </w:tblPrEx>
        <w:trPr>
          <w:trHeight w:val="494" w:hRule="atLeast"/>
        </w:trPr>
        <w:tc>
          <w:tcPr>
            <w:tcW w:w="873" w:type="dxa"/>
            <w:tcBorders>
              <w:top w:val="nil"/>
              <w:left w:val="single" w:color="auto" w:sz="4" w:space="0"/>
              <w:bottom w:val="single" w:color="auto" w:sz="4" w:space="0"/>
              <w:right w:val="single" w:color="auto" w:sz="4" w:space="0"/>
            </w:tcBorders>
            <w:shd w:val="clear" w:color="FFFFFF" w:fill="FFFFFF"/>
            <w:noWrap/>
            <w:vAlign w:val="center"/>
          </w:tcPr>
          <w:p w14:paraId="3E9D681D">
            <w:pPr>
              <w:spacing w:line="240" w:lineRule="auto"/>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16</w:t>
            </w:r>
          </w:p>
        </w:tc>
        <w:tc>
          <w:tcPr>
            <w:tcW w:w="1306" w:type="dxa"/>
            <w:tcBorders>
              <w:top w:val="nil"/>
              <w:left w:val="nil"/>
              <w:bottom w:val="single" w:color="auto" w:sz="4" w:space="0"/>
              <w:right w:val="single" w:color="auto" w:sz="4" w:space="0"/>
            </w:tcBorders>
            <w:noWrap/>
            <w:vAlign w:val="center"/>
          </w:tcPr>
          <w:p w14:paraId="37AFEF49">
            <w:pPr>
              <w:spacing w:line="240" w:lineRule="auto"/>
              <w:jc w:val="center"/>
              <w:rPr>
                <w:rFonts w:hint="eastAsia" w:ascii="仿宋_GB2312" w:hAnsi="仿宋_GB2312" w:eastAsia="仿宋_GB2312" w:cs="仿宋_GB2312"/>
                <w:b w:val="0"/>
                <w:bCs/>
                <w:sz w:val="28"/>
                <w:szCs w:val="28"/>
              </w:rPr>
            </w:pPr>
          </w:p>
        </w:tc>
        <w:tc>
          <w:tcPr>
            <w:tcW w:w="924" w:type="dxa"/>
            <w:tcBorders>
              <w:top w:val="nil"/>
              <w:left w:val="nil"/>
              <w:bottom w:val="single" w:color="auto" w:sz="4" w:space="0"/>
              <w:right w:val="single" w:color="auto" w:sz="4" w:space="0"/>
            </w:tcBorders>
            <w:noWrap/>
            <w:vAlign w:val="center"/>
          </w:tcPr>
          <w:p w14:paraId="737B99AF">
            <w:pPr>
              <w:spacing w:line="240" w:lineRule="auto"/>
              <w:jc w:val="center"/>
              <w:rPr>
                <w:rFonts w:hint="eastAsia" w:ascii="仿宋_GB2312" w:hAnsi="仿宋_GB2312" w:eastAsia="仿宋_GB2312" w:cs="仿宋_GB2312"/>
                <w:b w:val="0"/>
                <w:bCs/>
                <w:sz w:val="28"/>
                <w:szCs w:val="28"/>
              </w:rPr>
            </w:pPr>
          </w:p>
        </w:tc>
        <w:tc>
          <w:tcPr>
            <w:tcW w:w="2121" w:type="dxa"/>
            <w:tcBorders>
              <w:top w:val="nil"/>
              <w:left w:val="nil"/>
              <w:bottom w:val="single" w:color="auto" w:sz="4" w:space="0"/>
              <w:right w:val="single" w:color="auto" w:sz="4" w:space="0"/>
            </w:tcBorders>
            <w:noWrap/>
            <w:vAlign w:val="center"/>
          </w:tcPr>
          <w:p w14:paraId="67C3CA6E">
            <w:pPr>
              <w:spacing w:line="240" w:lineRule="auto"/>
              <w:jc w:val="center"/>
              <w:rPr>
                <w:rFonts w:hint="eastAsia" w:ascii="仿宋_GB2312" w:hAnsi="仿宋_GB2312" w:eastAsia="仿宋_GB2312" w:cs="仿宋_GB2312"/>
                <w:b w:val="0"/>
                <w:bCs/>
                <w:sz w:val="28"/>
                <w:szCs w:val="28"/>
              </w:rPr>
            </w:pPr>
          </w:p>
        </w:tc>
        <w:tc>
          <w:tcPr>
            <w:tcW w:w="1275" w:type="dxa"/>
            <w:tcBorders>
              <w:top w:val="nil"/>
              <w:left w:val="nil"/>
              <w:bottom w:val="single" w:color="auto" w:sz="4" w:space="0"/>
              <w:right w:val="single" w:color="auto" w:sz="4" w:space="0"/>
            </w:tcBorders>
            <w:noWrap/>
            <w:vAlign w:val="center"/>
          </w:tcPr>
          <w:p w14:paraId="5D39C18A">
            <w:pPr>
              <w:spacing w:line="240" w:lineRule="auto"/>
              <w:jc w:val="center"/>
              <w:rPr>
                <w:rFonts w:hint="eastAsia" w:ascii="仿宋_GB2312" w:hAnsi="仿宋_GB2312" w:eastAsia="仿宋_GB2312" w:cs="仿宋_GB2312"/>
                <w:b w:val="0"/>
                <w:bCs/>
                <w:sz w:val="28"/>
                <w:szCs w:val="28"/>
              </w:rPr>
            </w:pPr>
          </w:p>
        </w:tc>
        <w:tc>
          <w:tcPr>
            <w:tcW w:w="1134" w:type="dxa"/>
            <w:tcBorders>
              <w:top w:val="nil"/>
              <w:left w:val="nil"/>
              <w:bottom w:val="single" w:color="auto" w:sz="4" w:space="0"/>
              <w:right w:val="single" w:color="auto" w:sz="4" w:space="0"/>
            </w:tcBorders>
            <w:noWrap/>
            <w:vAlign w:val="center"/>
          </w:tcPr>
          <w:p w14:paraId="0BC2B456">
            <w:pPr>
              <w:spacing w:line="240" w:lineRule="auto"/>
              <w:jc w:val="center"/>
              <w:rPr>
                <w:rFonts w:hint="eastAsia" w:ascii="仿宋_GB2312" w:hAnsi="仿宋_GB2312" w:eastAsia="仿宋_GB2312" w:cs="仿宋_GB2312"/>
                <w:b w:val="0"/>
                <w:bCs/>
                <w:sz w:val="28"/>
                <w:szCs w:val="28"/>
              </w:rPr>
            </w:pPr>
          </w:p>
        </w:tc>
        <w:tc>
          <w:tcPr>
            <w:tcW w:w="1560" w:type="dxa"/>
            <w:tcBorders>
              <w:top w:val="nil"/>
              <w:left w:val="nil"/>
              <w:bottom w:val="single" w:color="auto" w:sz="4" w:space="0"/>
              <w:right w:val="single" w:color="auto" w:sz="4" w:space="0"/>
            </w:tcBorders>
            <w:noWrap/>
            <w:vAlign w:val="center"/>
          </w:tcPr>
          <w:p w14:paraId="478CFB9E">
            <w:pPr>
              <w:spacing w:line="240" w:lineRule="auto"/>
              <w:jc w:val="center"/>
              <w:rPr>
                <w:rFonts w:hint="eastAsia" w:ascii="仿宋_GB2312" w:hAnsi="仿宋_GB2312" w:eastAsia="仿宋_GB2312" w:cs="仿宋_GB2312"/>
                <w:b w:val="0"/>
                <w:bCs/>
                <w:sz w:val="28"/>
                <w:szCs w:val="28"/>
              </w:rPr>
            </w:pPr>
          </w:p>
        </w:tc>
        <w:tc>
          <w:tcPr>
            <w:tcW w:w="1021" w:type="dxa"/>
            <w:tcBorders>
              <w:top w:val="nil"/>
              <w:left w:val="nil"/>
              <w:bottom w:val="single" w:color="auto" w:sz="4" w:space="0"/>
              <w:right w:val="single" w:color="auto" w:sz="4" w:space="0"/>
            </w:tcBorders>
          </w:tcPr>
          <w:p w14:paraId="069DB4F8">
            <w:pPr>
              <w:spacing w:line="240" w:lineRule="auto"/>
              <w:jc w:val="center"/>
              <w:rPr>
                <w:rFonts w:hint="eastAsia" w:ascii="仿宋_GB2312" w:hAnsi="仿宋_GB2312" w:eastAsia="仿宋_GB2312" w:cs="仿宋_GB2312"/>
                <w:b w:val="0"/>
                <w:bCs/>
                <w:sz w:val="28"/>
                <w:szCs w:val="28"/>
              </w:rPr>
            </w:pPr>
          </w:p>
        </w:tc>
      </w:tr>
      <w:tr w14:paraId="49079639">
        <w:tblPrEx>
          <w:tblCellMar>
            <w:top w:w="0" w:type="dxa"/>
            <w:left w:w="108" w:type="dxa"/>
            <w:bottom w:w="0" w:type="dxa"/>
            <w:right w:w="108" w:type="dxa"/>
          </w:tblCellMar>
        </w:tblPrEx>
        <w:trPr>
          <w:trHeight w:val="772" w:hRule="atLeast"/>
        </w:trPr>
        <w:tc>
          <w:tcPr>
            <w:tcW w:w="10214" w:type="dxa"/>
            <w:gridSpan w:val="8"/>
            <w:tcBorders>
              <w:top w:val="nil"/>
              <w:left w:val="nil"/>
              <w:bottom w:val="nil"/>
              <w:right w:val="nil"/>
            </w:tcBorders>
            <w:noWrap/>
            <w:vAlign w:val="center"/>
          </w:tcPr>
          <w:p w14:paraId="779277B7">
            <w:pPr>
              <w:spacing w:line="240" w:lineRule="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注：不同组别分别填写表</w:t>
            </w:r>
          </w:p>
        </w:tc>
      </w:tr>
    </w:tbl>
    <w:p w14:paraId="431AF487">
      <w:pPr>
        <w:spacing w:line="240" w:lineRule="auto"/>
        <w:rPr>
          <w:rFonts w:hint="eastAsia" w:ascii="Times New Roman" w:hAnsi="Times New Roman" w:eastAsia="华文宋体" w:cs="华文宋体"/>
          <w:bCs/>
          <w:sz w:val="32"/>
          <w:szCs w:val="32"/>
        </w:rPr>
        <w:sectPr>
          <w:pgSz w:w="11906" w:h="16838"/>
          <w:pgMar w:top="1440" w:right="1800" w:bottom="1440" w:left="1800" w:header="851" w:footer="992" w:gutter="0"/>
          <w:pgNumType w:fmt="decimal"/>
          <w:cols w:space="720" w:num="1"/>
          <w:docGrid w:type="lines" w:linePitch="439" w:charSpace="0"/>
        </w:sectPr>
      </w:pPr>
    </w:p>
    <w:p w14:paraId="1D16AB34">
      <w:pPr>
        <w:spacing w:line="240" w:lineRule="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rPr>
        <w:t>附件</w:t>
      </w:r>
      <w:r>
        <w:rPr>
          <w:rFonts w:hint="eastAsia" w:ascii="黑体" w:hAnsi="黑体" w:eastAsia="黑体" w:cs="黑体"/>
          <w:b w:val="0"/>
          <w:bCs/>
          <w:sz w:val="32"/>
          <w:szCs w:val="32"/>
          <w:lang w:val="en-US" w:eastAsia="zh-CN"/>
        </w:rPr>
        <w:t>3</w:t>
      </w:r>
    </w:p>
    <w:p w14:paraId="184AF4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自愿参赛责任及风险告知书</w:t>
      </w:r>
    </w:p>
    <w:p w14:paraId="565EB0BA">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本人（队）自愿报名参加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比赛并签署本责任书。</w:t>
      </w:r>
    </w:p>
    <w:p w14:paraId="34DB235D">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本人（队）已全面了解并同意遵守大会所制订的各项竞赛规程、规则、要求及采取的安全措施。</w:t>
      </w:r>
    </w:p>
    <w:p w14:paraId="27FB0CA4">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8FCD970">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本人（队）充分了解本次比赛可能出现的风险，且已准备必要的防范措施，以对自己（学生）安全负责的态度参赛。</w:t>
      </w:r>
    </w:p>
    <w:p w14:paraId="43D53D28">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本人（队）愿意承担比赛期间发生的自身意外风险责任，且同意对于非大会原因造成的伤害等任何形式的损失</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大会不承担任何形式的赔偿。</w:t>
      </w:r>
    </w:p>
    <w:p w14:paraId="5E6BE10F">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本人（队）同意接受大会在比赛期间提供的现场急救性质的医务治疗，但在离开现场后，在医院救治等发生的相关费用由本人（队）独立负担。</w:t>
      </w:r>
    </w:p>
    <w:p w14:paraId="77D83F07">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本人（队）承诺以自己的名义参赛，</w:t>
      </w:r>
      <w:r>
        <w:rPr>
          <w:rFonts w:hint="eastAsia" w:ascii="仿宋" w:hAnsi="仿宋" w:eastAsia="仿宋" w:cs="仿宋"/>
          <w:color w:val="auto"/>
          <w:sz w:val="24"/>
          <w:highlight w:val="none"/>
          <w:lang w:val="en-US" w:eastAsia="zh-CN"/>
        </w:rPr>
        <w:t>绝</w:t>
      </w:r>
      <w:r>
        <w:rPr>
          <w:rFonts w:hint="eastAsia" w:ascii="仿宋" w:hAnsi="仿宋" w:eastAsia="仿宋" w:cs="仿宋"/>
          <w:color w:val="auto"/>
          <w:sz w:val="24"/>
          <w:highlight w:val="none"/>
        </w:rPr>
        <w:t>不冒名顶替，否则自愿承担全部法律责任。</w:t>
      </w:r>
    </w:p>
    <w:p w14:paraId="17129A5C">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本人（队）及家长（监护人）已认真阅读并全面理解以上内容，且对上述所有内容予以确认并承担相应的法律责任。</w:t>
      </w:r>
    </w:p>
    <w:p w14:paraId="5CADC518">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参赛项目：</w:t>
      </w:r>
    </w:p>
    <w:p w14:paraId="53AB9AB3">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（签名请用楷体字填写，务必清晰可辨。）</w:t>
      </w:r>
    </w:p>
    <w:p w14:paraId="1286A81E">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运动员姓名：</w:t>
      </w:r>
    </w:p>
    <w:p w14:paraId="7EE784FF">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运动员家长（监护人）签名：</w:t>
      </w:r>
    </w:p>
    <w:p w14:paraId="2515DE58">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运动队教练签名：</w:t>
      </w:r>
    </w:p>
    <w:p w14:paraId="10448CE2">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运动队领队签名：</w:t>
      </w:r>
    </w:p>
    <w:p w14:paraId="693A72BE">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 xml:space="preserve">参赛学校（盖章）：                       </w:t>
      </w:r>
      <w:r>
        <w:rPr>
          <w:rFonts w:hint="eastAsia" w:ascii="楷体_GB2312" w:hAnsi="楷体_GB2312" w:eastAsia="楷体_GB2312" w:cs="楷体_GB2312"/>
          <w:b/>
          <w:bCs/>
          <w:color w:val="auto"/>
          <w:sz w:val="24"/>
          <w:highlight w:val="none"/>
          <w:lang w:val="en-US" w:eastAsia="zh-CN"/>
        </w:rPr>
        <w:t xml:space="preserve">    </w:t>
      </w:r>
      <w:r>
        <w:rPr>
          <w:rFonts w:hint="eastAsia" w:ascii="楷体_GB2312" w:hAnsi="楷体_GB2312" w:eastAsia="楷体_GB2312" w:cs="楷体_GB2312"/>
          <w:b/>
          <w:bCs/>
          <w:color w:val="auto"/>
          <w:sz w:val="24"/>
          <w:highlight w:val="none"/>
        </w:rPr>
        <w:t xml:space="preserve">      年   月   日</w:t>
      </w:r>
    </w:p>
    <w:p w14:paraId="7CFB4E8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Times New Roman" w:eastAsia="华文宋体" w:cs="华文宋体"/>
        </w:rPr>
      </w:pPr>
      <w:r>
        <w:rPr>
          <w:rFonts w:hint="eastAsia" w:ascii="仿宋" w:hAnsi="仿宋" w:eastAsia="仿宋" w:cs="仿宋"/>
          <w:color w:val="auto"/>
          <w:sz w:val="24"/>
          <w:highlight w:val="none"/>
        </w:rPr>
        <w:t>备注：本《告知书》为每名运动员单独1份，先由运动员本人及其监护人签字，然后由教练、领队签字，加盖学校公章，最后将所有参赛运动员的《告知书》装订成册，邮寄至赛会组委会。</w:t>
      </w:r>
    </w:p>
    <w:sectPr>
      <w:pgSz w:w="11906" w:h="16838"/>
      <w:pgMar w:top="2098" w:right="1474" w:bottom="1984" w:left="1587" w:header="851" w:footer="992" w:gutter="0"/>
      <w:pgNumType w:fmt="decimal"/>
      <w:cols w:space="720" w:num="1"/>
      <w:docGrid w:type="lines" w:linePitch="43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C8D3E3B-A4A3-47AB-BDE4-D8A8EB5B16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roman"/>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C94306E8-D017-4D11-99D9-58F30E1384DD}"/>
  </w:font>
  <w:font w:name="方正小标宋简体">
    <w:panose1 w:val="02000000000000000000"/>
    <w:charset w:val="86"/>
    <w:family w:val="auto"/>
    <w:pitch w:val="default"/>
    <w:sig w:usb0="00000001" w:usb1="08000000" w:usb2="00000000" w:usb3="00000000" w:csb0="00040000" w:csb1="00000000"/>
    <w:embedRegular r:id="rId3" w:fontKey="{C78E9C6E-19D7-4969-BF88-02006F2A217C}"/>
  </w:font>
  <w:font w:name="仿宋_GB2312">
    <w:panose1 w:val="02010609030101010101"/>
    <w:charset w:val="86"/>
    <w:family w:val="auto"/>
    <w:pitch w:val="default"/>
    <w:sig w:usb0="00000001" w:usb1="080E0000" w:usb2="00000000" w:usb3="00000000" w:csb0="00040000" w:csb1="00000000"/>
    <w:embedRegular r:id="rId4" w:fontKey="{D8F0E3A0-6425-4632-8E7C-C775F08D0A6B}"/>
  </w:font>
  <w:font w:name="楷体_GB2312">
    <w:panose1 w:val="02010609030101010101"/>
    <w:charset w:val="86"/>
    <w:family w:val="auto"/>
    <w:pitch w:val="default"/>
    <w:sig w:usb0="00000001" w:usb1="080E0000" w:usb2="00000000" w:usb3="00000000" w:csb0="00040000" w:csb1="00000000"/>
    <w:embedRegular r:id="rId5" w:fontKey="{D31E5ED9-F58F-487D-8D77-E78930B2E55F}"/>
  </w:font>
  <w:font w:name="华文宋体">
    <w:panose1 w:val="02010600040101010101"/>
    <w:charset w:val="86"/>
    <w:family w:val="auto"/>
    <w:pitch w:val="default"/>
    <w:sig w:usb0="00000287" w:usb1="080F0000" w:usb2="00000000" w:usb3="00000000" w:csb0="0004009F" w:csb1="DFD70000"/>
    <w:embedRegular r:id="rId6" w:fontKey="{B9303F4D-71E3-4C8A-B9B2-18E39D7AD497}"/>
  </w:font>
  <w:font w:name="WPSEMBED39">
    <w:panose1 w:val="02010609030101010101"/>
    <w:charset w:val="86"/>
    <w:family w:val="auto"/>
    <w:pitch w:val="default"/>
    <w:sig w:usb0="00000001" w:usb1="080E0000" w:usb2="00000000" w:usb3="00000000" w:csb0="00040000" w:csb1="00000000"/>
  </w:font>
  <w:font w:name="WPSEMBED40">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D1C30">
    <w:pPr>
      <w:pStyle w:val="4"/>
      <w:ind w:right="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4451A9">
                          <w:pPr>
                            <w:pStyle w:val="4"/>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4451A9">
                    <w:pPr>
                      <w:pStyle w:val="4"/>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abstractNum w:abstractNumId="1">
    <w:nsid w:val="EF8B91AB"/>
    <w:multiLevelType w:val="singleLevel"/>
    <w:tmpl w:val="EF8B91AB"/>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6D2"/>
    <w:rsid w:val="000236D2"/>
    <w:rsid w:val="0010295D"/>
    <w:rsid w:val="001D7758"/>
    <w:rsid w:val="00202A08"/>
    <w:rsid w:val="00203C59"/>
    <w:rsid w:val="00207F37"/>
    <w:rsid w:val="00296B23"/>
    <w:rsid w:val="002D5933"/>
    <w:rsid w:val="00307101"/>
    <w:rsid w:val="003B7427"/>
    <w:rsid w:val="00443541"/>
    <w:rsid w:val="00517C53"/>
    <w:rsid w:val="0053409D"/>
    <w:rsid w:val="005756AD"/>
    <w:rsid w:val="00594E3C"/>
    <w:rsid w:val="00714BB1"/>
    <w:rsid w:val="00744C4B"/>
    <w:rsid w:val="00AA756C"/>
    <w:rsid w:val="00B7362F"/>
    <w:rsid w:val="00CC2160"/>
    <w:rsid w:val="00CF6BD0"/>
    <w:rsid w:val="00D617D6"/>
    <w:rsid w:val="00E864DB"/>
    <w:rsid w:val="00F22E44"/>
    <w:rsid w:val="01D46B46"/>
    <w:rsid w:val="020E0B20"/>
    <w:rsid w:val="0213766F"/>
    <w:rsid w:val="02B349AE"/>
    <w:rsid w:val="03B409DD"/>
    <w:rsid w:val="09991C3E"/>
    <w:rsid w:val="0A1E7D15"/>
    <w:rsid w:val="0AB47515"/>
    <w:rsid w:val="0CB14942"/>
    <w:rsid w:val="0E8D4679"/>
    <w:rsid w:val="11050ACA"/>
    <w:rsid w:val="129C76C2"/>
    <w:rsid w:val="12DC1597"/>
    <w:rsid w:val="151632A6"/>
    <w:rsid w:val="157D3325"/>
    <w:rsid w:val="19D52A8D"/>
    <w:rsid w:val="1A8D2229"/>
    <w:rsid w:val="1B506DE6"/>
    <w:rsid w:val="1B6632D2"/>
    <w:rsid w:val="1C8568B5"/>
    <w:rsid w:val="1D70376F"/>
    <w:rsid w:val="1E8C6387"/>
    <w:rsid w:val="1E9809EA"/>
    <w:rsid w:val="1FC311FD"/>
    <w:rsid w:val="2202604C"/>
    <w:rsid w:val="22FD1376"/>
    <w:rsid w:val="25DA20CE"/>
    <w:rsid w:val="28A57E32"/>
    <w:rsid w:val="293A0704"/>
    <w:rsid w:val="296733C4"/>
    <w:rsid w:val="2A106EFB"/>
    <w:rsid w:val="2ADE3045"/>
    <w:rsid w:val="2CEB4BC0"/>
    <w:rsid w:val="2E3E1D79"/>
    <w:rsid w:val="2F946A0A"/>
    <w:rsid w:val="304F4CA4"/>
    <w:rsid w:val="306233EC"/>
    <w:rsid w:val="30F56A18"/>
    <w:rsid w:val="3417273F"/>
    <w:rsid w:val="34B34216"/>
    <w:rsid w:val="35011F6B"/>
    <w:rsid w:val="351A4295"/>
    <w:rsid w:val="35374A2C"/>
    <w:rsid w:val="3668412E"/>
    <w:rsid w:val="379466BC"/>
    <w:rsid w:val="37E172EC"/>
    <w:rsid w:val="381B27FE"/>
    <w:rsid w:val="3881462B"/>
    <w:rsid w:val="38D02B01"/>
    <w:rsid w:val="38D23B88"/>
    <w:rsid w:val="3A2D6818"/>
    <w:rsid w:val="3BE63123"/>
    <w:rsid w:val="3CAB2581"/>
    <w:rsid w:val="3D712EC0"/>
    <w:rsid w:val="3F4D34B9"/>
    <w:rsid w:val="3F930C31"/>
    <w:rsid w:val="40E65973"/>
    <w:rsid w:val="42537038"/>
    <w:rsid w:val="44E508C2"/>
    <w:rsid w:val="469F45FA"/>
    <w:rsid w:val="46FE1EDD"/>
    <w:rsid w:val="470B35D1"/>
    <w:rsid w:val="48847F4B"/>
    <w:rsid w:val="49E36EF3"/>
    <w:rsid w:val="4F2558B8"/>
    <w:rsid w:val="509727E6"/>
    <w:rsid w:val="50CF53F6"/>
    <w:rsid w:val="539036E5"/>
    <w:rsid w:val="540B1521"/>
    <w:rsid w:val="5523289A"/>
    <w:rsid w:val="554F08BC"/>
    <w:rsid w:val="5779769C"/>
    <w:rsid w:val="5A987886"/>
    <w:rsid w:val="5BE2700B"/>
    <w:rsid w:val="5BF6163A"/>
    <w:rsid w:val="5EF14F9B"/>
    <w:rsid w:val="5F13572D"/>
    <w:rsid w:val="5FED6071"/>
    <w:rsid w:val="60023E0E"/>
    <w:rsid w:val="60D7750A"/>
    <w:rsid w:val="61BA0AE1"/>
    <w:rsid w:val="61D7754E"/>
    <w:rsid w:val="631B2E02"/>
    <w:rsid w:val="63B91F8E"/>
    <w:rsid w:val="64276F53"/>
    <w:rsid w:val="64E2007C"/>
    <w:rsid w:val="67A015E6"/>
    <w:rsid w:val="68033835"/>
    <w:rsid w:val="68E63EB3"/>
    <w:rsid w:val="697F638B"/>
    <w:rsid w:val="6BF71AD4"/>
    <w:rsid w:val="6C107D4B"/>
    <w:rsid w:val="6C247828"/>
    <w:rsid w:val="713147DF"/>
    <w:rsid w:val="7161057A"/>
    <w:rsid w:val="737C4E28"/>
    <w:rsid w:val="76A0687D"/>
    <w:rsid w:val="7731389C"/>
    <w:rsid w:val="778C0AD6"/>
    <w:rsid w:val="78155D57"/>
    <w:rsid w:val="78D3456B"/>
    <w:rsid w:val="7A94376E"/>
    <w:rsid w:val="7B2745E3"/>
    <w:rsid w:val="7B3C4B21"/>
    <w:rsid w:val="7BBF05D2"/>
    <w:rsid w:val="7BC10593"/>
    <w:rsid w:val="7D7D6C06"/>
    <w:rsid w:val="7E983C90"/>
    <w:rsid w:val="7EDC1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w:basedOn w:val="1"/>
    <w:qFormat/>
    <w:uiPriority w:val="0"/>
    <w:rPr>
      <w:rFonts w:ascii="微软雅黑" w:hAnsi="微软雅黑" w:eastAsia="微软雅黑" w:cs="微软雅黑"/>
      <w:sz w:val="31"/>
      <w:szCs w:val="31"/>
      <w:lang w:val="en-US" w:eastAsia="en-US" w:bidi="ar-SA"/>
    </w:rPr>
  </w:style>
  <w:style w:type="paragraph" w:styleId="4">
    <w:name w:val="footer"/>
    <w:basedOn w:val="1"/>
    <w:link w:val="10"/>
    <w:unhideWhenUsed/>
    <w:qFormat/>
    <w:uiPriority w:val="99"/>
    <w:pPr>
      <w:tabs>
        <w:tab w:val="center" w:pos="4153"/>
        <w:tab w:val="right" w:pos="8306"/>
      </w:tabs>
      <w:snapToGrid w:val="0"/>
      <w:jc w:val="left"/>
    </w:pPr>
    <w:rPr>
      <w:rFonts w:eastAsia="仿宋"/>
      <w:sz w:val="18"/>
      <w:szCs w:val="18"/>
    </w:rPr>
  </w:style>
  <w:style w:type="paragraph" w:styleId="5">
    <w:name w:val="header"/>
    <w:basedOn w:val="1"/>
    <w:link w:val="12"/>
    <w:unhideWhenUsed/>
    <w:qFormat/>
    <w:uiPriority w:val="99"/>
    <w:pPr>
      <w:tabs>
        <w:tab w:val="center" w:pos="4153"/>
        <w:tab w:val="right" w:pos="8306"/>
      </w:tabs>
      <w:snapToGrid w:val="0"/>
      <w:jc w:val="center"/>
    </w:pPr>
    <w:rPr>
      <w:sz w:val="18"/>
      <w:szCs w:val="18"/>
    </w:rPr>
  </w:style>
  <w:style w:type="paragraph" w:styleId="6">
    <w:name w:val="Normal (Web)"/>
    <w:basedOn w:val="1"/>
    <w:qFormat/>
    <w:uiPriority w:val="0"/>
    <w:rPr>
      <w:sz w:val="24"/>
    </w:rPr>
  </w:style>
  <w:style w:type="character" w:styleId="9">
    <w:name w:val="Strong"/>
    <w:basedOn w:val="8"/>
    <w:qFormat/>
    <w:uiPriority w:val="0"/>
    <w:rPr>
      <w:b/>
    </w:rPr>
  </w:style>
  <w:style w:type="character" w:customStyle="1" w:styleId="10">
    <w:name w:val="页脚 字符"/>
    <w:link w:val="4"/>
    <w:qFormat/>
    <w:uiPriority w:val="99"/>
    <w:rPr>
      <w:rFonts w:eastAsia="仿宋"/>
      <w:sz w:val="18"/>
      <w:szCs w:val="18"/>
    </w:rPr>
  </w:style>
  <w:style w:type="character" w:customStyle="1" w:styleId="11">
    <w:name w:val="页脚 字符1"/>
    <w:basedOn w:val="8"/>
    <w:semiHidden/>
    <w:qFormat/>
    <w:uiPriority w:val="99"/>
    <w:rPr>
      <w:sz w:val="18"/>
      <w:szCs w:val="18"/>
    </w:rPr>
  </w:style>
  <w:style w:type="character" w:customStyle="1" w:styleId="12">
    <w:name w:val="页眉 字符"/>
    <w:basedOn w:val="8"/>
    <w:link w:val="5"/>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62b3c132-78f6-4a23-be67-aac9b53e9db4</errorID>
      <errorWord>以院校为单位报名</errorWord>
      <group>L1_Other</group>
      <groupName>其他问题</groupName>
      <ability>L2_Consistency</ability>
      <abilityName>一致性检查</abilityName>
      <candidateList>
        <item>以学校为单位报名</item>
      </candidateList>
      <explain>术语一致性：报名单位表述应统一，后文统一为‘以学校为单位报名’</explain>
      <paraID>69B8A279</paraID>
      <start>5</start>
      <end>13</end>
      <status>ignored</status>
      <modifiedWord/>
      <trackRevisions>false</trackRevisions>
    </reviewItem>
    <reviewItem>
      <errorID>7ac82200-f05b-4d01-801e-6f57d6ae4da5</errorID>
      <errorWord>证明</errorWord>
      <group>L1_Grammar</group>
      <groupName>语法问题</groupName>
      <ability>L2_Grammar</ability>
      <abilityName>语法错误</abilityName>
      <candidateList>
        <item>，提供证明</item>
      </candidateList>
      <explain/>
      <paraID> 73FB6B0</paraID>
      <start>24</start>
      <end>26</end>
      <status>ignored</status>
      <modifiedWord/>
      <trackRevisions>false</trackRevisions>
    </reviewItem>
    <reviewItem>
      <errorID>796fa5e9-2ef8-4c0e-b016-d8946e43deaa</errorID>
      <errorWord>，</errorWord>
      <group>L1_Word</group>
      <groupName>字词问题</groupName>
      <ability>L2_Typo</ability>
      <abilityName>字词错误</abilityName>
      <candidateList>
        <item>，并</item>
      </candidateList>
      <explain/>
      <paraID>4E57FF89</paraID>
      <start>107</start>
      <end>108</end>
      <status>ignored</status>
      <modifiedWord/>
      <trackRevisions>false</trackRevisions>
    </reviewItem>
    <reviewItem>
      <errorID>f8b7c4d0-4aa7-4bcf-b5dd-8b33b9f480ab</errorID>
      <errorWord>1楼</errorWord>
      <group>L1_Word</group>
      <groupName>字词问题</groupName>
      <ability>L2_Typo</ability>
      <abilityName>字词错误</abilityName>
      <candidateList>
        <item>一楼</item>
      </candidateList>
      <explain/>
      <paraID>67194EDD</paraID>
      <start>28</start>
      <end>30</end>
      <status>modified</status>
      <modifiedWord>一楼</modifiedWord>
      <trackRevisions>false</trackRevisions>
    </reviewItem>
    <reviewItem>
      <errorID>12c2902c-1e30-4968-9c9a-a508e511e049</errorID>
      <errorWord>1楼</errorWord>
      <group>L1_Word</group>
      <groupName>字词问题</groupName>
      <ability>L2_Typo</ability>
      <abilityName>字词错误</abilityName>
      <candidateList>
        <item>一楼</item>
      </candidateList>
      <explain/>
      <paraID>253A4638</paraID>
      <start>22</start>
      <end>24</end>
      <status>modified</status>
      <modifiedWord>一楼</modifiedWord>
      <trackRevisions>false</trackRevisions>
    </reviewItem>
    <reviewItem>
      <errorID>2176310e-2bb2-4cfe-a682-24923a2db674</errorID>
      <errorWord>1200</errorWord>
      <group>L1_Grammar</group>
      <groupName>语法问题</groupName>
      <ability>L2_Grammar</ability>
      <abilityName>语法错误</abilityName>
      <candidateList>
        <item>加收1200</item>
      </candidateList>
      <explain/>
      <paraID>4E36E589</paraID>
      <start>25</start>
      <end>29</end>
      <status>ignored</status>
      <modifiedWord/>
      <trackRevisions>false</trackRevisions>
    </reviewItem>
    <reviewItem>
      <errorID>94b6398e-e097-4d15-a6df-d0c2ecd86c6f</errorID>
      <errorWord>黑龙江省学生游泳锦标赛</errorWord>
      <group>L1_Other</group>
      <groupName>其他问题</groupName>
      <ability>L2_Consistency</ability>
      <abilityName>一致性检查</abilityName>
      <candidateList>
        <item>黑龙江省大学生游泳锦标赛</item>
      </candidateList>
      <explain>术语一致性：赛事名称表述应统一，全文赛事名称为‘黑龙江省大学生游泳锦标赛’</explain>
      <paraID>54B08CDB</paraID>
      <start>1</start>
      <end>13</end>
      <status>modified</status>
      <modifiedWord>黑龙江省大学生游泳锦标赛</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7d86b0-af18-4bc7-a3e7-e57ac8c87821}">
  <ds:schemaRefs/>
</ds:datastoreItem>
</file>

<file path=docProps/app.xml><?xml version="1.0" encoding="utf-8"?>
<Properties xmlns="http://schemas.openxmlformats.org/officeDocument/2006/extended-properties" xmlns:vt="http://schemas.openxmlformats.org/officeDocument/2006/docPropsVTypes">
  <Template>Normal</Template>
  <Pages>9</Pages>
  <Words>3256</Words>
  <Characters>3462</Characters>
  <Lines>310</Lines>
  <Paragraphs>259</Paragraphs>
  <TotalTime>0</TotalTime>
  <ScaleCrop>false</ScaleCrop>
  <LinksUpToDate>false</LinksUpToDate>
  <CharactersWithSpaces>3616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2025-02-22T01:19:00Z</dcterms:created>
  <dc:creator>亮</dc:creator>
  <cp:lastModifiedBy>l</cp:lastModifiedBy>
  <dcterms:modified xsi:type="dcterms:W3CDTF">2026-05-28T09:37:52Z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eyJoZGlkIjoiNGM5YzE4NDcxNjdjM2E4MjZkNTM2ZjEzOGFhYWNhZWYiLCJ1c2VySWQiOiIzMTExMjcyOTUifQ==</vt:lpwstr>
  </property>
  <property fmtid="{D5CDD505-2E9C-101B-9397-08002B2CF9AE}" pid="3" name="KSOProductBuildVer">
    <vt:lpwstr>2052-12.1.0.25865</vt:lpwstr>
  </property>
  <property fmtid="{D5CDD505-2E9C-101B-9397-08002B2CF9AE}" pid="4" name="ICV">
    <vt:lpwstr>ADCB1C86100A44DD94E63DE2639A71D3_13</vt:lpwstr>
  </property>
</Properties>
</file>