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CD04C5">
      <w:pPr>
        <w:spacing w:after="0" w:line="560" w:lineRule="exact"/>
        <w:rPr>
          <w:rFonts w:hint="eastAsia" w:ascii="黑体" w:hAnsi="黑体" w:eastAsia="黑体" w:cs="黑体"/>
          <w:sz w:val="32"/>
          <w:szCs w:val="32"/>
        </w:rPr>
      </w:pPr>
      <w:bookmarkStart w:id="0" w:name="_GoBack"/>
      <w:bookmarkEnd w:id="0"/>
      <w:r>
        <w:rPr>
          <w:rFonts w:hint="eastAsia" w:ascii="黑体" w:hAnsi="黑体" w:eastAsia="黑体" w:cs="黑体"/>
          <w:sz w:val="32"/>
          <w:szCs w:val="32"/>
        </w:rPr>
        <w:t>附件1</w:t>
      </w:r>
    </w:p>
    <w:p w14:paraId="163CB630">
      <w:pPr>
        <w:spacing w:after="0"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2026年黑龙江省第二届大学生匹克球锦标赛竞赛规程</w:t>
      </w:r>
    </w:p>
    <w:p w14:paraId="322600E4">
      <w:pPr>
        <w:spacing w:line="560" w:lineRule="exact"/>
        <w:rPr>
          <w:rFonts w:hint="eastAsia" w:ascii="仿宋_GB2312" w:hAnsi="仿宋_GB2312" w:eastAsia="仿宋_GB2312" w:cs="仿宋_GB2312"/>
          <w:sz w:val="32"/>
          <w:szCs w:val="32"/>
        </w:rPr>
      </w:pPr>
    </w:p>
    <w:p w14:paraId="76FD002B">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一、主办单位</w:t>
      </w:r>
    </w:p>
    <w:p w14:paraId="62FC6D8D">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黑龙江省学生体育协会</w:t>
      </w:r>
    </w:p>
    <w:p w14:paraId="0903A4D9">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二、承办单位</w:t>
      </w:r>
    </w:p>
    <w:p w14:paraId="6BD7DE83">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黑龙江冰雪体育职业学院</w:t>
      </w:r>
    </w:p>
    <w:p w14:paraId="538044F2">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三、协办单位</w:t>
      </w:r>
    </w:p>
    <w:p w14:paraId="7AE1CD67">
      <w:pPr>
        <w:pStyle w:val="35"/>
        <w:spacing w:after="0" w:line="560" w:lineRule="exact"/>
        <w:ind w:left="4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李宁（中国）体育用品有限公司</w:t>
      </w:r>
    </w:p>
    <w:p w14:paraId="4391F249">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黑龙江省恒跃体育俱乐部有限公司</w:t>
      </w:r>
    </w:p>
    <w:p w14:paraId="5108BCC0">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铭沧体育</w:t>
      </w:r>
    </w:p>
    <w:p w14:paraId="573DF09C">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四、竞赛时间和地点</w:t>
      </w:r>
    </w:p>
    <w:p w14:paraId="7E4468DC">
      <w:pPr>
        <w:pStyle w:val="35"/>
        <w:spacing w:after="0" w:line="560" w:lineRule="exact"/>
        <w:ind w:left="440" w:left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（一）竞赛时间</w:t>
      </w:r>
    </w:p>
    <w:p w14:paraId="2177B81C">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大学生组：2026年6月27日—28日</w:t>
      </w:r>
    </w:p>
    <w:p w14:paraId="08DECB23">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教职工组：2026年6月28日</w:t>
      </w:r>
    </w:p>
    <w:p w14:paraId="6623C3B2">
      <w:pPr>
        <w:pStyle w:val="35"/>
        <w:spacing w:after="0" w:line="560" w:lineRule="exact"/>
        <w:ind w:left="440" w:left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（二）竞赛地点</w:t>
      </w:r>
    </w:p>
    <w:p w14:paraId="05177688">
      <w:pPr>
        <w:spacing w:after="0"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1.大学生组</w:t>
      </w:r>
    </w:p>
    <w:p w14:paraId="702B0456">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黑龙江冰雪体育职业学院（哈尔滨市松北区滨水大道 8801 号）室外匹克球场地</w:t>
      </w:r>
    </w:p>
    <w:p w14:paraId="3D525BA4">
      <w:pPr>
        <w:spacing w:after="0"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2.教职工组</w:t>
      </w:r>
    </w:p>
    <w:p w14:paraId="1B927AEC">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黑龙江冰雪体育职业学院（哈尔滨市松北区滨水大道 8801 号）体育馆二层匹克球场地</w:t>
      </w:r>
    </w:p>
    <w:p w14:paraId="5D826921">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五、参赛对象、队伍结构及竞赛项目</w:t>
      </w:r>
    </w:p>
    <w:p w14:paraId="6F07F612">
      <w:pPr>
        <w:pStyle w:val="35"/>
        <w:spacing w:after="0" w:line="560" w:lineRule="exact"/>
        <w:ind w:left="440" w:left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（一）参赛对象</w:t>
      </w:r>
    </w:p>
    <w:p w14:paraId="1F77FDA3">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1.黑龙江省各普通高等学校在校学生（含本、专科学生及研究生）；</w:t>
      </w:r>
    </w:p>
    <w:p w14:paraId="594A1BAC">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2.黑龙江省</w:t>
      </w:r>
      <w:r>
        <w:rPr>
          <w:rFonts w:hint="eastAsia" w:ascii="仿宋_GB2312" w:hAnsi="仿宋_GB2312" w:eastAsia="仿宋_GB2312" w:cs="仿宋_GB2312"/>
          <w:color w:val="auto"/>
          <w:sz w:val="32"/>
          <w:szCs w:val="32"/>
        </w:rPr>
        <w:t>教育系统</w:t>
      </w:r>
      <w:r>
        <w:rPr>
          <w:rFonts w:hint="eastAsia" w:ascii="仿宋_GB2312" w:hAnsi="仿宋_GB2312" w:eastAsia="仿宋_GB2312" w:cs="仿宋_GB2312"/>
          <w:sz w:val="32"/>
          <w:szCs w:val="32"/>
        </w:rPr>
        <w:t>教职工。</w:t>
      </w:r>
    </w:p>
    <w:p w14:paraId="0B147DF0">
      <w:pPr>
        <w:pStyle w:val="35"/>
        <w:spacing w:after="0" w:line="560" w:lineRule="exact"/>
        <w:ind w:left="440" w:left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（二）参赛队伍结构</w:t>
      </w:r>
    </w:p>
    <w:p w14:paraId="2C301B9B">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大学生组团体赛每队运动员至少4名（每名运动员可兼1项）；</w:t>
      </w:r>
    </w:p>
    <w:p w14:paraId="4C9FE4B8">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教职工组每队运动员至少4名（每名运动员可兼1项）。</w:t>
      </w:r>
    </w:p>
    <w:p w14:paraId="2D1657C3">
      <w:pPr>
        <w:pStyle w:val="35"/>
        <w:spacing w:after="0" w:line="560" w:lineRule="exact"/>
        <w:ind w:left="440" w:left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（三）竞赛项目</w:t>
      </w:r>
    </w:p>
    <w:p w14:paraId="4D31A36A">
      <w:pPr>
        <w:spacing w:after="0"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1.大学生组</w:t>
      </w:r>
    </w:p>
    <w:p w14:paraId="0456EF9B">
      <w:pPr>
        <w:spacing w:after="0"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单项赛：男子单打、女子单打、男子双打、女子双打、混合双打（可兼项）</w:t>
      </w:r>
    </w:p>
    <w:p w14:paraId="1632B579">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团体赛：男子双打、女子双打、混合双打</w:t>
      </w:r>
    </w:p>
    <w:p w14:paraId="3268A439">
      <w:pPr>
        <w:spacing w:after="0"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2.教职工组</w:t>
      </w:r>
    </w:p>
    <w:p w14:paraId="7370DA33">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团体赛：男子双打、女子双打、混合双打</w:t>
      </w:r>
    </w:p>
    <w:p w14:paraId="4B6FB8E8">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六、参赛资格</w:t>
      </w:r>
    </w:p>
    <w:p w14:paraId="18158928">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身体健康符合条件的黑龙江省内在校大学生（含本、专科学生及研究生）。须持公安机关核发的第二代身份证原件（外籍运动员须持护照原件，港澳台运动员须持有回乡证原件）以及学籍证明；教职工须提供在职证明。 </w:t>
      </w:r>
    </w:p>
    <w:p w14:paraId="0D3B7417">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（二）参赛运动员须凭有效身份证件原件、体检证明（证明适宜参加所报竞赛项目）和自愿参赛及风险告知书参加比赛。因参赛资格不符或舞弊参赛产生的一切损失，由个人自行承担。</w:t>
      </w:r>
    </w:p>
    <w:p w14:paraId="3CE13E71">
      <w:pPr>
        <w:pStyle w:val="35"/>
        <w:spacing w:after="0" w:line="560" w:lineRule="exact"/>
        <w:ind w:left="0"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rPr>
        <w:t>七、报名办法</w:t>
      </w:r>
    </w:p>
    <w:p w14:paraId="282555B6">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（一）报名时间：即日起至6月19日16:00前。</w:t>
      </w:r>
    </w:p>
    <w:p w14:paraId="3B55E6BB">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（二）报名方式：</w:t>
      </w:r>
    </w:p>
    <w:p w14:paraId="698175F0">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bCs/>
          <w:kern w:val="0"/>
          <w:sz w:val="32"/>
          <w:szCs w:val="32"/>
          <w:lang w:bidi="ar"/>
        </w:rPr>
        <w:t>1.</w:t>
      </w:r>
      <w:r>
        <w:rPr>
          <w:rFonts w:hint="eastAsia" w:ascii="仿宋_GB2312" w:hAnsi="仿宋_GB2312" w:eastAsia="仿宋_GB2312" w:cs="仿宋_GB2312"/>
          <w:sz w:val="32"/>
          <w:szCs w:val="32"/>
        </w:rPr>
        <w:t>使用微信小程序搜索“乐动力网球”点击“匹克球”选择赛事“2026年黑龙江省第二届大学生匹克球锦标赛”进行报名缴费。</w:t>
      </w:r>
    </w:p>
    <w:p w14:paraId="26966882">
      <w:pPr>
        <w:spacing w:after="0"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（注：小程序收款单位为乐动力网球，发票开具为协办单位黑龙江省恒跃体育俱乐部有限公司）</w:t>
      </w:r>
    </w:p>
    <w:p w14:paraId="7334016A">
      <w:pPr>
        <w:adjustRightInd w:val="0"/>
        <w:snapToGrid w:val="0"/>
        <w:spacing w:after="0" w:line="560" w:lineRule="exact"/>
        <w:ind w:firstLine="640" w:firstLineChars="200"/>
        <w:rPr>
          <w:rFonts w:hint="eastAsia" w:ascii="仿宋_GB2312" w:hAnsi="仿宋_GB2312" w:eastAsia="仿宋_GB2312" w:cs="仿宋_GB2312"/>
          <w:bCs/>
          <w:sz w:val="32"/>
          <w:szCs w:val="32"/>
          <w:lang w:bidi="ar"/>
        </w:rPr>
      </w:pPr>
      <w:r>
        <w:rPr>
          <w:rFonts w:hint="eastAsia" w:ascii="仿宋_GB2312" w:hAnsi="仿宋_GB2312" w:eastAsia="仿宋_GB2312" w:cs="仿宋_GB2312"/>
          <w:bCs/>
          <w:sz w:val="32"/>
          <w:szCs w:val="32"/>
          <w:lang w:bidi="ar"/>
        </w:rPr>
        <w:t>2.报名后，如有特殊情况需退出比赛，须于报名截止时间前通过</w:t>
      </w:r>
      <w:r>
        <w:rPr>
          <w:rFonts w:hint="eastAsia" w:ascii="仿宋_GB2312" w:hAnsi="仿宋_GB2312" w:eastAsia="仿宋_GB2312" w:cs="仿宋_GB2312"/>
          <w:sz w:val="32"/>
          <w:szCs w:val="32"/>
        </w:rPr>
        <w:t>“网球记赛事”小程序</w:t>
      </w:r>
      <w:r>
        <w:rPr>
          <w:rFonts w:hint="eastAsia" w:ascii="仿宋_GB2312" w:hAnsi="仿宋_GB2312" w:eastAsia="仿宋_GB2312" w:cs="仿宋_GB2312"/>
          <w:bCs/>
          <w:sz w:val="32"/>
          <w:szCs w:val="32"/>
          <w:lang w:bidi="ar"/>
        </w:rPr>
        <w:t>或者联系赛事主办方取消报名。</w:t>
      </w:r>
    </w:p>
    <w:p w14:paraId="2D273692">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3.抽签：在赛前2天的18:00前进行抽签，并在“黑龙江省恒跃体育俱乐部有限公司”微信公众平台及微信赛事群聊内公布</w:t>
      </w:r>
      <w:r>
        <w:rPr>
          <w:rFonts w:hint="eastAsia" w:ascii="仿宋_GB2312" w:hAnsi="仿宋_GB2312" w:eastAsia="仿宋_GB2312" w:cs="仿宋_GB2312"/>
          <w:bCs/>
          <w:kern w:val="0"/>
          <w:sz w:val="32"/>
          <w:szCs w:val="32"/>
          <w:highlight w:val="none"/>
          <w:lang w:bidi="ar"/>
        </w:rPr>
        <w:t>抽</w:t>
      </w:r>
      <w:r>
        <w:rPr>
          <w:rFonts w:hint="eastAsia" w:ascii="仿宋_GB2312" w:hAnsi="仿宋_GB2312" w:eastAsia="仿宋_GB2312" w:cs="仿宋_GB2312"/>
          <w:bCs/>
          <w:kern w:val="0"/>
          <w:sz w:val="32"/>
          <w:szCs w:val="32"/>
          <w:lang w:bidi="ar"/>
        </w:rPr>
        <w:t>签表和比赛日程。</w:t>
      </w:r>
    </w:p>
    <w:p w14:paraId="54654AA4">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bCs/>
          <w:kern w:val="0"/>
          <w:sz w:val="32"/>
          <w:szCs w:val="32"/>
          <w:lang w:bidi="ar"/>
        </w:rPr>
        <w:t>4.报名费：</w:t>
      </w:r>
      <w:r>
        <w:rPr>
          <w:rFonts w:hint="eastAsia" w:ascii="仿宋_GB2312" w:hAnsi="仿宋_GB2312" w:eastAsia="仿宋_GB2312" w:cs="仿宋_GB2312"/>
          <w:sz w:val="32"/>
          <w:szCs w:val="32"/>
        </w:rPr>
        <w:t>单打项目80元/项；双打项目150元/项；</w:t>
      </w:r>
    </w:p>
    <w:p w14:paraId="4CED59FB">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团体项目600</w:t>
      </w:r>
      <w:r>
        <w:rPr>
          <w:rFonts w:hint="eastAsia" w:ascii="仿宋_GB2312" w:hAnsi="仿宋_GB2312" w:eastAsia="仿宋_GB2312" w:cs="仿宋_GB2312"/>
          <w:sz w:val="32"/>
          <w:szCs w:val="32"/>
          <w:lang w:eastAsia="zh-CN"/>
        </w:rPr>
        <w:t>元/</w:t>
      </w:r>
      <w:r>
        <w:rPr>
          <w:rFonts w:hint="eastAsia" w:ascii="仿宋_GB2312" w:hAnsi="仿宋_GB2312" w:eastAsia="仿宋_GB2312" w:cs="仿宋_GB2312"/>
          <w:sz w:val="32"/>
          <w:szCs w:val="32"/>
        </w:rPr>
        <w:t>队。</w:t>
      </w:r>
    </w:p>
    <w:p w14:paraId="48A1DB4F">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5.保险：办赛单位统一为选手购买赛事保险。</w:t>
      </w:r>
    </w:p>
    <w:p w14:paraId="07148D49">
      <w:pPr>
        <w:adjustRightInd w:val="0"/>
        <w:snapToGrid w:val="0"/>
        <w:spacing w:after="0"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6.赛事组委会联系方式：</w:t>
      </w:r>
    </w:p>
    <w:p w14:paraId="3A7CD115">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宋老师15022247611，</w:t>
      </w:r>
      <w:r>
        <w:rPr>
          <w:rFonts w:hint="eastAsia" w:ascii="仿宋_GB2312" w:hAnsi="仿宋_GB2312" w:eastAsia="仿宋_GB2312" w:cs="仿宋_GB2312"/>
          <w:sz w:val="32"/>
          <w:szCs w:val="32"/>
        </w:rPr>
        <w:t>袁老师15004635235。</w:t>
      </w:r>
    </w:p>
    <w:p w14:paraId="13C73D54">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.赛事群</w:t>
      </w:r>
    </w:p>
    <w:p w14:paraId="79514189">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参赛运动员完成报名缴费后，扫码进入微信赛事群</w:t>
      </w:r>
    </w:p>
    <w:p w14:paraId="7069642F">
      <w:pPr>
        <w:spacing w:after="0" w:line="56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drawing>
          <wp:anchor distT="0" distB="0" distL="114300" distR="114300" simplePos="0" relativeHeight="251660288" behindDoc="0" locked="0" layoutInCell="1" allowOverlap="1">
            <wp:simplePos x="0" y="0"/>
            <wp:positionH relativeFrom="column">
              <wp:posOffset>1589405</wp:posOffset>
            </wp:positionH>
            <wp:positionV relativeFrom="paragraph">
              <wp:posOffset>266700</wp:posOffset>
            </wp:positionV>
            <wp:extent cx="2380615" cy="2764790"/>
            <wp:effectExtent l="0" t="0" r="635" b="0"/>
            <wp:wrapNone/>
            <wp:docPr id="9772846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84603"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t="23149"/>
                    <a:stretch>
                      <a:fillRect/>
                    </a:stretch>
                  </pic:blipFill>
                  <pic:spPr>
                    <a:xfrm>
                      <a:off x="0" y="0"/>
                      <a:ext cx="2380615" cy="2764790"/>
                    </a:xfrm>
                    <a:prstGeom prst="rect">
                      <a:avLst/>
                    </a:prstGeom>
                    <a:noFill/>
                    <a:ln>
                      <a:noFill/>
                    </a:ln>
                  </pic:spPr>
                </pic:pic>
              </a:graphicData>
            </a:graphic>
          </wp:anchor>
        </w:drawing>
      </w:r>
    </w:p>
    <w:p w14:paraId="4716CFB2">
      <w:pPr>
        <w:spacing w:after="0" w:line="560" w:lineRule="exact"/>
        <w:ind w:firstLine="640" w:firstLineChars="200"/>
        <w:rPr>
          <w:rFonts w:ascii="仿宋_GB2312" w:hAnsi="仿宋_GB2312" w:eastAsia="仿宋_GB2312" w:cs="仿宋_GB2312"/>
          <w:sz w:val="32"/>
          <w:szCs w:val="32"/>
        </w:rPr>
      </w:pPr>
    </w:p>
    <w:p w14:paraId="790CCF5C">
      <w:pPr>
        <w:spacing w:after="0" w:line="560" w:lineRule="exact"/>
        <w:ind w:firstLine="640" w:firstLineChars="200"/>
        <w:rPr>
          <w:rFonts w:ascii="仿宋_GB2312" w:hAnsi="仿宋_GB2312" w:eastAsia="仿宋_GB2312" w:cs="仿宋_GB2312"/>
          <w:sz w:val="32"/>
          <w:szCs w:val="32"/>
        </w:rPr>
      </w:pPr>
    </w:p>
    <w:p w14:paraId="626FB70E">
      <w:pPr>
        <w:spacing w:after="0" w:line="560" w:lineRule="exact"/>
        <w:ind w:firstLine="640" w:firstLineChars="200"/>
        <w:rPr>
          <w:rFonts w:ascii="仿宋_GB2312" w:hAnsi="仿宋_GB2312" w:eastAsia="仿宋_GB2312" w:cs="仿宋_GB2312"/>
          <w:sz w:val="32"/>
          <w:szCs w:val="32"/>
        </w:rPr>
      </w:pPr>
    </w:p>
    <w:p w14:paraId="76757695">
      <w:pPr>
        <w:spacing w:after="0" w:line="560" w:lineRule="exact"/>
        <w:ind w:firstLine="640" w:firstLineChars="200"/>
        <w:rPr>
          <w:rFonts w:ascii="仿宋_GB2312" w:hAnsi="仿宋_GB2312" w:eastAsia="仿宋_GB2312" w:cs="仿宋_GB2312"/>
          <w:sz w:val="32"/>
          <w:szCs w:val="32"/>
        </w:rPr>
      </w:pPr>
    </w:p>
    <w:p w14:paraId="792EFF17">
      <w:pPr>
        <w:spacing w:after="0" w:line="560" w:lineRule="exact"/>
        <w:ind w:firstLine="640" w:firstLineChars="200"/>
        <w:rPr>
          <w:rFonts w:ascii="仿宋_GB2312" w:hAnsi="仿宋_GB2312" w:eastAsia="仿宋_GB2312" w:cs="仿宋_GB2312"/>
          <w:sz w:val="32"/>
          <w:szCs w:val="32"/>
        </w:rPr>
      </w:pPr>
    </w:p>
    <w:p w14:paraId="778D5F02">
      <w:pPr>
        <w:spacing w:after="0" w:line="560" w:lineRule="exact"/>
        <w:ind w:firstLine="640" w:firstLineChars="200"/>
        <w:rPr>
          <w:rFonts w:ascii="仿宋_GB2312" w:hAnsi="仿宋_GB2312" w:eastAsia="仿宋_GB2312" w:cs="仿宋_GB2312"/>
          <w:sz w:val="32"/>
          <w:szCs w:val="32"/>
        </w:rPr>
      </w:pPr>
    </w:p>
    <w:p w14:paraId="07C5BFE6">
      <w:pPr>
        <w:spacing w:after="0" w:line="560" w:lineRule="exact"/>
        <w:ind w:firstLine="640" w:firstLineChars="200"/>
        <w:rPr>
          <w:rFonts w:ascii="仿宋_GB2312" w:hAnsi="仿宋_GB2312" w:eastAsia="仿宋_GB2312" w:cs="仿宋_GB2312"/>
          <w:sz w:val="32"/>
          <w:szCs w:val="32"/>
        </w:rPr>
      </w:pPr>
    </w:p>
    <w:p w14:paraId="17D72AB3">
      <w:pPr>
        <w:spacing w:after="0" w:line="560" w:lineRule="exact"/>
        <w:ind w:firstLine="640" w:firstLineChars="200"/>
        <w:rPr>
          <w:rFonts w:hint="eastAsia" w:ascii="仿宋_GB2312" w:hAnsi="仿宋_GB2312" w:eastAsia="仿宋_GB2312" w:cs="仿宋_GB2312"/>
          <w:sz w:val="32"/>
          <w:szCs w:val="32"/>
          <w:lang w:eastAsia="zh-CN"/>
        </w:rPr>
      </w:pPr>
    </w:p>
    <w:p w14:paraId="7E1FF2EB">
      <w:pPr>
        <w:numPr>
          <w:ilvl w:val="0"/>
          <w:numId w:val="1"/>
        </w:numPr>
        <w:spacing w:after="0"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报到：</w:t>
      </w:r>
    </w:p>
    <w:p w14:paraId="075892AF">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报到</w:t>
      </w:r>
      <w:r>
        <w:rPr>
          <w:rFonts w:hint="eastAsia" w:ascii="仿宋_GB2312" w:hAnsi="仿宋_GB2312" w:eastAsia="仿宋_GB2312" w:cs="仿宋_GB2312"/>
          <w:sz w:val="32"/>
          <w:szCs w:val="32"/>
        </w:rPr>
        <w:t>时审验材料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各参赛队在</w:t>
      </w:r>
      <w:r>
        <w:rPr>
          <w:rFonts w:hint="eastAsia" w:ascii="仿宋_GB2312" w:hAnsi="仿宋_GB2312" w:eastAsia="仿宋_GB2312" w:cs="仿宋_GB2312"/>
          <w:sz w:val="32"/>
          <w:szCs w:val="32"/>
          <w:lang w:val="en-US" w:eastAsia="zh-CN"/>
        </w:rPr>
        <w:t>联席会议</w:t>
      </w:r>
      <w:r>
        <w:rPr>
          <w:rFonts w:hint="eastAsia" w:ascii="仿宋_GB2312" w:hAnsi="仿宋_GB2312" w:eastAsia="仿宋_GB2312" w:cs="仿宋_GB2312"/>
          <w:sz w:val="32"/>
          <w:szCs w:val="32"/>
        </w:rPr>
        <w:t>时</w:t>
      </w:r>
      <w:r>
        <w:rPr>
          <w:rFonts w:hint="eastAsia" w:ascii="仿宋_GB2312" w:hAnsi="仿宋_GB2312" w:eastAsia="仿宋_GB2312" w:cs="仿宋_GB2312"/>
          <w:sz w:val="32"/>
          <w:szCs w:val="32"/>
          <w:lang w:eastAsia="zh-CN"/>
        </w:rPr>
        <w:t>需提交</w:t>
      </w:r>
      <w:r>
        <w:rPr>
          <w:rFonts w:hint="eastAsia" w:ascii="仿宋_GB2312" w:hAnsi="仿宋_GB2312" w:eastAsia="仿宋_GB2312" w:cs="仿宋_GB2312"/>
          <w:sz w:val="32"/>
          <w:szCs w:val="32"/>
        </w:rPr>
        <w:t>以下材料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进行现场资审：</w:t>
      </w:r>
    </w:p>
    <w:p w14:paraId="0BCEBD58">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1.运动员本人第二代身份证复印件</w:t>
      </w:r>
      <w:r>
        <w:rPr>
          <w:rFonts w:hint="eastAsia" w:ascii="仿宋_GB2312" w:hAnsi="仿宋_GB2312" w:eastAsia="仿宋_GB2312" w:cs="仿宋_GB2312"/>
          <w:sz w:val="32"/>
          <w:szCs w:val="32"/>
          <w:lang w:eastAsia="zh-CN"/>
        </w:rPr>
        <w:t>；</w:t>
      </w:r>
    </w:p>
    <w:p w14:paraId="7FA89D07">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小程序</w:t>
      </w:r>
      <w:r>
        <w:rPr>
          <w:rFonts w:hint="eastAsia" w:ascii="仿宋_GB2312" w:hAnsi="仿宋_GB2312" w:eastAsia="仿宋_GB2312" w:cs="仿宋_GB2312"/>
          <w:sz w:val="32"/>
          <w:szCs w:val="32"/>
        </w:rPr>
        <w:t>报名表</w:t>
      </w:r>
      <w:r>
        <w:rPr>
          <w:rFonts w:hint="eastAsia" w:ascii="仿宋_GB2312" w:hAnsi="仿宋_GB2312" w:eastAsia="仿宋_GB2312" w:cs="仿宋_GB2312"/>
          <w:sz w:val="32"/>
          <w:szCs w:val="32"/>
          <w:lang w:val="en-US" w:eastAsia="zh-CN"/>
        </w:rPr>
        <w:t>截图复印件</w:t>
      </w:r>
      <w:r>
        <w:rPr>
          <w:rFonts w:hint="eastAsia" w:ascii="仿宋_GB2312" w:hAnsi="仿宋_GB2312" w:eastAsia="仿宋_GB2312" w:cs="仿宋_GB2312"/>
          <w:sz w:val="32"/>
          <w:szCs w:val="32"/>
          <w:lang w:eastAsia="zh-CN"/>
        </w:rPr>
        <w:t>；</w:t>
      </w:r>
    </w:p>
    <w:p w14:paraId="3B64CFA3">
      <w:pPr>
        <w:spacing w:after="0"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运动员本人</w:t>
      </w:r>
      <w:r>
        <w:rPr>
          <w:rFonts w:hint="eastAsia" w:ascii="仿宋_GB2312" w:hAnsi="仿宋_GB2312" w:eastAsia="仿宋_GB2312" w:cs="仿宋_GB2312"/>
          <w:sz w:val="32"/>
          <w:szCs w:val="32"/>
        </w:rPr>
        <w:t>学籍证明（加盖学校公章）</w:t>
      </w:r>
      <w:r>
        <w:rPr>
          <w:rFonts w:hint="eastAsia" w:ascii="仿宋_GB2312" w:hAnsi="仿宋_GB2312" w:eastAsia="仿宋_GB2312" w:cs="仿宋_GB2312"/>
          <w:sz w:val="32"/>
          <w:szCs w:val="32"/>
          <w:lang w:eastAsia="zh-CN"/>
        </w:rPr>
        <w:t>；</w:t>
      </w:r>
    </w:p>
    <w:p w14:paraId="073FB6B0">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4.健康证明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参加比赛的所有运动员都</w:t>
      </w:r>
      <w:r>
        <w:rPr>
          <w:rFonts w:hint="eastAsia" w:ascii="仿宋_GB2312" w:hAnsi="仿宋_GB2312" w:eastAsia="仿宋_GB2312" w:cs="仿宋_GB2312"/>
          <w:sz w:val="32"/>
          <w:szCs w:val="32"/>
          <w:lang w:eastAsia="zh-CN"/>
        </w:rPr>
        <w:t>需</w:t>
      </w:r>
      <w:r>
        <w:rPr>
          <w:rFonts w:hint="eastAsia" w:ascii="仿宋_GB2312" w:hAnsi="仿宋_GB2312" w:eastAsia="仿宋_GB2312" w:cs="仿宋_GB2312"/>
          <w:sz w:val="32"/>
          <w:szCs w:val="32"/>
        </w:rPr>
        <w:t>经医院体检证明身体健康（6个月以内体检视为有效，检查</w:t>
      </w:r>
      <w:r>
        <w:rPr>
          <w:rFonts w:hint="eastAsia" w:ascii="仿宋_GB2312" w:hAnsi="仿宋_GB2312" w:eastAsia="仿宋_GB2312" w:cs="仿宋_GB2312"/>
          <w:sz w:val="32"/>
          <w:szCs w:val="32"/>
          <w:lang w:val="en-US" w:eastAsia="zh-CN"/>
        </w:rPr>
        <w:t>须</w:t>
      </w:r>
      <w:r>
        <w:rPr>
          <w:rFonts w:hint="eastAsia" w:ascii="仿宋_GB2312" w:hAnsi="仿宋_GB2312" w:eastAsia="仿宋_GB2312" w:cs="仿宋_GB2312"/>
          <w:sz w:val="32"/>
          <w:szCs w:val="32"/>
        </w:rPr>
        <w:t>包含心电图），适合参加所报名项目比赛的体检报告；</w:t>
      </w:r>
    </w:p>
    <w:p w14:paraId="0495992B">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自愿参赛风险告知书（附件</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p>
    <w:p w14:paraId="20706A52">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以上材料不全或不符合要求者不得参赛。</w:t>
      </w:r>
    </w:p>
    <w:p w14:paraId="57521031">
      <w:pPr>
        <w:spacing w:after="0" w:line="560" w:lineRule="exact"/>
        <w:ind w:firstLine="643"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比赛期间，所有运动员</w:t>
      </w:r>
      <w:r>
        <w:rPr>
          <w:rFonts w:hint="eastAsia" w:ascii="仿宋_GB2312" w:hAnsi="仿宋_GB2312" w:eastAsia="仿宋_GB2312" w:cs="仿宋_GB2312"/>
          <w:b/>
          <w:bCs/>
          <w:sz w:val="32"/>
          <w:szCs w:val="32"/>
          <w:lang w:val="en-US" w:eastAsia="zh-CN"/>
        </w:rPr>
        <w:t>须</w:t>
      </w:r>
      <w:r>
        <w:rPr>
          <w:rFonts w:hint="eastAsia" w:ascii="仿宋_GB2312" w:hAnsi="仿宋_GB2312" w:eastAsia="仿宋_GB2312" w:cs="仿宋_GB2312"/>
          <w:b/>
          <w:bCs/>
          <w:sz w:val="32"/>
          <w:szCs w:val="32"/>
        </w:rPr>
        <w:t>随身携带身份证，配合现场身份核验。</w:t>
      </w:r>
    </w:p>
    <w:p w14:paraId="616DE8DF">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八、竞赛办法</w:t>
      </w:r>
    </w:p>
    <w:p w14:paraId="508B8F79">
      <w:pPr>
        <w:shd w:val="clear" w:color="auto" w:fill="FEFEFE"/>
        <w:adjustRightInd w:val="0"/>
        <w:snapToGrid w:val="0"/>
        <w:spacing w:after="0" w:line="560" w:lineRule="exact"/>
        <w:ind w:firstLine="640" w:firstLineChars="200"/>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（一）比赛采用中国网球协会颁布的最新《中国匹克球运动竞赛规则》。</w:t>
      </w:r>
    </w:p>
    <w:p w14:paraId="150BF458">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bCs/>
          <w:kern w:val="0"/>
          <w:sz w:val="32"/>
          <w:szCs w:val="32"/>
        </w:rPr>
        <w:t>（二）</w:t>
      </w:r>
      <w:r>
        <w:rPr>
          <w:rFonts w:hint="eastAsia" w:ascii="仿宋_GB2312" w:hAnsi="仿宋_GB2312" w:eastAsia="仿宋_GB2312" w:cs="仿宋_GB2312"/>
          <w:sz w:val="32"/>
          <w:szCs w:val="32"/>
        </w:rPr>
        <w:t>比赛方法及赛制：</w:t>
      </w:r>
    </w:p>
    <w:p w14:paraId="06A99037">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1.第一阶段为小组循环赛，小组前两名出线；第二阶段通过现场抽签落位决出最终名次。</w:t>
      </w:r>
    </w:p>
    <w:p w14:paraId="320E42F5">
      <w:pPr>
        <w:spacing w:after="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2.小组比赛采用发球得分制，11分一局决胜，13分封顶。一方率先得到6分，运动员进行换边。淘汰赛（包含决赛以及3-4名附加赛）采用发球得分制，15分一局决胜，17分封顶。一方率先得到8分，运动员进行换边。</w:t>
      </w:r>
    </w:p>
    <w:p w14:paraId="682B7496">
      <w:pPr>
        <w:shd w:val="clear" w:color="auto" w:fill="FEFEFE"/>
        <w:adjustRightInd w:val="0"/>
        <w:snapToGrid w:val="0"/>
        <w:spacing w:after="0" w:line="560" w:lineRule="exact"/>
        <w:ind w:firstLine="640" w:firstLineChars="200"/>
        <w:rPr>
          <w:rFonts w:hint="eastAsia" w:ascii="仿宋_GB2312" w:hAnsi="仿宋_GB2312" w:eastAsia="仿宋_GB2312" w:cs="仿宋_GB2312"/>
          <w:bCs/>
          <w:spacing w:val="5"/>
          <w:kern w:val="0"/>
          <w:sz w:val="32"/>
          <w:szCs w:val="32"/>
        </w:rPr>
      </w:pPr>
      <w:r>
        <w:rPr>
          <w:rFonts w:hint="eastAsia" w:ascii="仿宋_GB2312" w:hAnsi="仿宋_GB2312" w:eastAsia="仿宋_GB2312" w:cs="仿宋_GB2312"/>
          <w:bCs/>
          <w:kern w:val="0"/>
          <w:sz w:val="32"/>
          <w:szCs w:val="32"/>
        </w:rPr>
        <w:t>（三）种子：按照参赛人数或者小组赛分组数量设定种子数。根据运动员积分排名确认</w:t>
      </w:r>
      <w:r>
        <w:rPr>
          <w:rFonts w:hint="eastAsia" w:ascii="仿宋_GB2312" w:hAnsi="仿宋_GB2312" w:eastAsia="仿宋_GB2312" w:cs="仿宋_GB2312"/>
          <w:bCs/>
          <w:kern w:val="0"/>
          <w:sz w:val="32"/>
          <w:szCs w:val="32"/>
          <w:lang w:bidi="ar"/>
        </w:rPr>
        <w:t>种子运动员。</w:t>
      </w:r>
    </w:p>
    <w:p w14:paraId="6624988C">
      <w:pPr>
        <w:adjustRightInd w:val="0"/>
        <w:snapToGrid w:val="0"/>
        <w:spacing w:after="0" w:line="560" w:lineRule="exact"/>
        <w:ind w:firstLine="640" w:firstLineChars="200"/>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（四）为使比赛顺利进行，如遇到特殊情况，经组委会同意，比赛监督和裁判长有权更改比赛的赛制。</w:t>
      </w:r>
    </w:p>
    <w:p w14:paraId="24FD2EF1">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九、比赛用球和设施</w:t>
      </w:r>
    </w:p>
    <w:p w14:paraId="1FFEA599">
      <w:pPr>
        <w:adjustRightInd w:val="0"/>
        <w:snapToGrid w:val="0"/>
        <w:spacing w:after="0"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kern w:val="0"/>
          <w:sz w:val="32"/>
          <w:szCs w:val="32"/>
          <w:lang w:bidi="ar"/>
        </w:rPr>
        <w:t>（一）比赛使用中国网球协会指定的匹克球；</w:t>
      </w:r>
    </w:p>
    <w:p w14:paraId="0723B474">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（二）比赛场地数量为8片。</w:t>
      </w:r>
    </w:p>
    <w:p w14:paraId="7FCE7FC2">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十、奖励办法</w:t>
      </w:r>
    </w:p>
    <w:tbl>
      <w:tblPr>
        <w:tblStyle w:val="19"/>
        <w:tblpPr w:leftFromText="180" w:rightFromText="180"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47"/>
        <w:gridCol w:w="2208"/>
        <w:gridCol w:w="2209"/>
      </w:tblGrid>
      <w:tr w14:paraId="7D19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7" w:type="dxa"/>
            <w:vAlign w:val="center"/>
          </w:tcPr>
          <w:p w14:paraId="30082978">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项目</w:t>
            </w:r>
          </w:p>
        </w:tc>
        <w:tc>
          <w:tcPr>
            <w:tcW w:w="2208" w:type="dxa"/>
            <w:vAlign w:val="center"/>
          </w:tcPr>
          <w:p w14:paraId="442B9AF7">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名次</w:t>
            </w:r>
          </w:p>
        </w:tc>
        <w:tc>
          <w:tcPr>
            <w:tcW w:w="2209" w:type="dxa"/>
            <w:vAlign w:val="center"/>
          </w:tcPr>
          <w:p w14:paraId="57E4BC50">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奖励</w:t>
            </w:r>
          </w:p>
        </w:tc>
      </w:tr>
      <w:tr w14:paraId="3D32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7" w:type="dxa"/>
            <w:vAlign w:val="center"/>
          </w:tcPr>
          <w:p w14:paraId="48F8029B">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单项赛（大学生组）</w:t>
            </w:r>
          </w:p>
        </w:tc>
        <w:tc>
          <w:tcPr>
            <w:tcW w:w="2208" w:type="dxa"/>
            <w:vAlign w:val="center"/>
          </w:tcPr>
          <w:p w14:paraId="6D88D557">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第1-3名</w:t>
            </w:r>
          </w:p>
        </w:tc>
        <w:tc>
          <w:tcPr>
            <w:tcW w:w="2209" w:type="dxa"/>
            <w:vAlign w:val="center"/>
          </w:tcPr>
          <w:p w14:paraId="356D4D10">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奖牌、奖状</w:t>
            </w:r>
          </w:p>
        </w:tc>
      </w:tr>
      <w:tr w14:paraId="1C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7" w:type="dxa"/>
            <w:vMerge w:val="restart"/>
            <w:vAlign w:val="center"/>
          </w:tcPr>
          <w:p w14:paraId="48DCC58D">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团体赛（大学生组）</w:t>
            </w:r>
          </w:p>
        </w:tc>
        <w:tc>
          <w:tcPr>
            <w:tcW w:w="2208" w:type="dxa"/>
            <w:vAlign w:val="center"/>
          </w:tcPr>
          <w:p w14:paraId="58937CED">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第1-3名</w:t>
            </w:r>
          </w:p>
        </w:tc>
        <w:tc>
          <w:tcPr>
            <w:tcW w:w="2209" w:type="dxa"/>
            <w:vAlign w:val="center"/>
          </w:tcPr>
          <w:p w14:paraId="2D2C6D9C">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奖杯、奖状</w:t>
            </w:r>
          </w:p>
        </w:tc>
      </w:tr>
      <w:tr w14:paraId="19FBF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7" w:type="dxa"/>
            <w:vMerge w:val="continue"/>
            <w:vAlign w:val="center"/>
          </w:tcPr>
          <w:p w14:paraId="6D742EF4">
            <w:pPr>
              <w:adjustRightInd w:val="0"/>
              <w:snapToGrid w:val="0"/>
              <w:spacing w:after="0" w:line="560" w:lineRule="exact"/>
              <w:jc w:val="center"/>
              <w:rPr>
                <w:rFonts w:hint="eastAsia" w:ascii="仿宋_GB2312" w:hAnsi="仿宋_GB2312" w:eastAsia="仿宋_GB2312" w:cs="仿宋_GB2312"/>
                <w:bCs/>
                <w:kern w:val="0"/>
                <w:sz w:val="32"/>
                <w:szCs w:val="32"/>
                <w:lang w:bidi="ar"/>
              </w:rPr>
            </w:pPr>
          </w:p>
        </w:tc>
        <w:tc>
          <w:tcPr>
            <w:tcW w:w="2208" w:type="dxa"/>
            <w:vAlign w:val="center"/>
          </w:tcPr>
          <w:p w14:paraId="1D3A273A">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第4名</w:t>
            </w:r>
          </w:p>
        </w:tc>
        <w:tc>
          <w:tcPr>
            <w:tcW w:w="2209" w:type="dxa"/>
            <w:vAlign w:val="center"/>
          </w:tcPr>
          <w:p w14:paraId="5AFF94CA">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奖状</w:t>
            </w:r>
          </w:p>
        </w:tc>
      </w:tr>
      <w:tr w14:paraId="3282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7" w:type="dxa"/>
            <w:vMerge w:val="restart"/>
            <w:vAlign w:val="center"/>
          </w:tcPr>
          <w:p w14:paraId="722B9224">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团体赛（教职工组）</w:t>
            </w:r>
          </w:p>
        </w:tc>
        <w:tc>
          <w:tcPr>
            <w:tcW w:w="2208" w:type="dxa"/>
            <w:vAlign w:val="center"/>
          </w:tcPr>
          <w:p w14:paraId="0C925788">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第1-3名</w:t>
            </w:r>
          </w:p>
        </w:tc>
        <w:tc>
          <w:tcPr>
            <w:tcW w:w="2209" w:type="dxa"/>
            <w:vAlign w:val="center"/>
          </w:tcPr>
          <w:p w14:paraId="6534B7F9">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奖杯、奖状</w:t>
            </w:r>
          </w:p>
        </w:tc>
      </w:tr>
      <w:tr w14:paraId="390C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7" w:type="dxa"/>
            <w:vMerge w:val="continue"/>
            <w:vAlign w:val="center"/>
          </w:tcPr>
          <w:p w14:paraId="5B5F2B82">
            <w:pPr>
              <w:adjustRightInd w:val="0"/>
              <w:snapToGrid w:val="0"/>
              <w:spacing w:after="0" w:line="560" w:lineRule="exact"/>
              <w:jc w:val="center"/>
              <w:rPr>
                <w:rFonts w:hint="eastAsia" w:ascii="仿宋_GB2312" w:hAnsi="仿宋_GB2312" w:eastAsia="仿宋_GB2312" w:cs="仿宋_GB2312"/>
                <w:bCs/>
                <w:kern w:val="0"/>
                <w:sz w:val="32"/>
                <w:szCs w:val="32"/>
                <w:lang w:bidi="ar"/>
              </w:rPr>
            </w:pPr>
          </w:p>
        </w:tc>
        <w:tc>
          <w:tcPr>
            <w:tcW w:w="2208" w:type="dxa"/>
            <w:vAlign w:val="center"/>
          </w:tcPr>
          <w:p w14:paraId="6D1510E9">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第4名</w:t>
            </w:r>
          </w:p>
        </w:tc>
        <w:tc>
          <w:tcPr>
            <w:tcW w:w="2209" w:type="dxa"/>
            <w:vAlign w:val="center"/>
          </w:tcPr>
          <w:p w14:paraId="5C36B00E">
            <w:pPr>
              <w:adjustRightInd w:val="0"/>
              <w:snapToGrid w:val="0"/>
              <w:spacing w:after="0" w:line="560" w:lineRule="exact"/>
              <w:jc w:val="center"/>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奖状</w:t>
            </w:r>
          </w:p>
        </w:tc>
      </w:tr>
    </w:tbl>
    <w:p w14:paraId="61AE94A6">
      <w:pPr>
        <w:pStyle w:val="35"/>
        <w:spacing w:after="0" w:line="560" w:lineRule="exact"/>
        <w:ind w:left="0" w:firstLine="640" w:firstLineChars="20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十一、报到和联席会议时间、地点另行通知。</w:t>
      </w:r>
    </w:p>
    <w:p w14:paraId="420DC5DE">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二</w:t>
      </w:r>
      <w:r>
        <w:rPr>
          <w:rFonts w:hint="eastAsia" w:ascii="黑体" w:hAnsi="黑体" w:eastAsia="黑体" w:cs="黑体"/>
          <w:sz w:val="32"/>
          <w:szCs w:val="32"/>
        </w:rPr>
        <w:t>、赛事监督、裁判长、裁判员</w:t>
      </w:r>
    </w:p>
    <w:p w14:paraId="256CB688">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（一）赛事监督、裁判长代表中国网球协会负责对比赛进行规范运行及全面监督，其判罚为</w:t>
      </w:r>
      <w:r>
        <w:rPr>
          <w:rFonts w:hint="eastAsia" w:ascii="仿宋_GB2312" w:hAnsi="仿宋_GB2312" w:eastAsia="仿宋_GB2312" w:cs="仿宋_GB2312"/>
          <w:bCs/>
          <w:kern w:val="0"/>
          <w:sz w:val="32"/>
          <w:szCs w:val="32"/>
          <w:lang w:eastAsia="zh-CN" w:bidi="ar"/>
        </w:rPr>
        <w:t>最终</w:t>
      </w:r>
      <w:r>
        <w:rPr>
          <w:rFonts w:hint="eastAsia" w:ascii="仿宋_GB2312" w:hAnsi="仿宋_GB2312" w:eastAsia="仿宋_GB2312" w:cs="仿宋_GB2312"/>
          <w:bCs/>
          <w:kern w:val="0"/>
          <w:sz w:val="32"/>
          <w:szCs w:val="32"/>
          <w:lang w:bidi="ar"/>
        </w:rPr>
        <w:t>决定。</w:t>
      </w:r>
    </w:p>
    <w:p w14:paraId="56A353ED">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（二）裁判长可全权履行赛事监督的职责。裁判员由黑龙江省学生体育协会选派。</w:t>
      </w:r>
    </w:p>
    <w:p w14:paraId="52D780BD">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三</w:t>
      </w:r>
      <w:r>
        <w:rPr>
          <w:rFonts w:hint="eastAsia" w:ascii="黑体" w:hAnsi="黑体" w:eastAsia="黑体" w:cs="黑体"/>
          <w:sz w:val="32"/>
          <w:szCs w:val="32"/>
        </w:rPr>
        <w:t>、对参赛运动员违反行为准则的处罚</w:t>
      </w:r>
    </w:p>
    <w:p w14:paraId="3072C41A">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违反行为准则的运动员，将视其情节和违反的条款给予罚分、取消比赛成绩和资格、取消参加中国匹克球巡回赛资格等处罚。具体方法详见《运动员行为准则处罚条例》。若出现本人积分不足扣罚时，记为负分，待其获得积分后再进行扣减。</w:t>
      </w:r>
    </w:p>
    <w:p w14:paraId="3DD9F36F">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（一）处罚程序</w:t>
      </w:r>
    </w:p>
    <w:p w14:paraId="6D5CC8EE">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比赛期间违纪由裁判长记录违纪行为并填写罚分通知单；赛前及赛场外违纪由裁判长或赛事监督直接实施处罚。</w:t>
      </w:r>
    </w:p>
    <w:p w14:paraId="1B9549F9">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（二）如运动员严重违反行为准则，除上述处罚外，还将给予通报批评直至禁赛的处罚。通报批评发布在中国网球协会官网及相关媒体平台。</w:t>
      </w:r>
    </w:p>
    <w:p w14:paraId="4943A482">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四</w:t>
      </w:r>
      <w:r>
        <w:rPr>
          <w:rFonts w:hint="eastAsia" w:ascii="黑体" w:hAnsi="黑体" w:eastAsia="黑体" w:cs="黑体"/>
          <w:sz w:val="32"/>
          <w:szCs w:val="32"/>
        </w:rPr>
        <w:t>、申诉和纪律</w:t>
      </w:r>
    </w:p>
    <w:p w14:paraId="430ADAE7">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（一）为维护竞赛公正性和规范性，如对选手资格有异议，应由异议方向组委会提交书面申请，并提供举证材料，同时交纳</w:t>
      </w:r>
      <w:r>
        <w:rPr>
          <w:rFonts w:hint="eastAsia" w:ascii="仿宋_GB2312" w:hAnsi="仿宋_GB2312" w:eastAsia="仿宋_GB2312" w:cs="仿宋_GB2312"/>
          <w:bCs/>
          <w:color w:val="auto"/>
          <w:kern w:val="0"/>
          <w:sz w:val="32"/>
          <w:szCs w:val="32"/>
          <w:lang w:bidi="ar"/>
        </w:rPr>
        <w:t>1000</w:t>
      </w:r>
      <w:r>
        <w:rPr>
          <w:rFonts w:hint="eastAsia" w:ascii="仿宋_GB2312" w:hAnsi="仿宋_GB2312" w:eastAsia="仿宋_GB2312" w:cs="仿宋_GB2312"/>
          <w:bCs/>
          <w:kern w:val="0"/>
          <w:sz w:val="32"/>
          <w:szCs w:val="32"/>
          <w:lang w:bidi="ar"/>
        </w:rPr>
        <w:t>元申诉费，赛事组委会受理申诉并进行核实。申诉成功，申诉费退还；否则申诉费不予退还。对裁判员工作提出异议须以书面形式向仲裁委员会提出申诉。申诉材料须在赛前或当场比赛结束2小时内提交。</w:t>
      </w:r>
    </w:p>
    <w:p w14:paraId="127CBB4B">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（二）严格按照运动员资格规定进行资格审查，对参赛资格弄虚作假的运动员，取消运动员已取得成绩及参赛资格。</w:t>
      </w:r>
    </w:p>
    <w:p w14:paraId="5629EAE3">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（三）比赛中发生辱骂、攻击裁判员和对方球员、教练员等违规违纪行为，视情节严重程度，对违规违纪运动员作出取消单场比赛成绩、停赛或取消参加巡回赛资格的处罚。</w:t>
      </w:r>
    </w:p>
    <w:p w14:paraId="2124DA9D">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（四）所有口头申诉均视为无效，申诉人和被申诉人应当积极配合组委会核实申诉材料，并尊重组委会的裁决。</w:t>
      </w:r>
    </w:p>
    <w:p w14:paraId="1DE36BD7">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（五）若申诉人或被申诉人对组委会作出的裁决有异议，可向中国网球协会提交二次申诉，申诉材料必须为书面材料。</w:t>
      </w:r>
    </w:p>
    <w:p w14:paraId="38ACD06D">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五</w:t>
      </w:r>
      <w:r>
        <w:rPr>
          <w:rFonts w:hint="eastAsia" w:ascii="黑体" w:hAnsi="黑体" w:eastAsia="黑体" w:cs="黑体"/>
          <w:sz w:val="32"/>
          <w:szCs w:val="32"/>
        </w:rPr>
        <w:t>、必须遵守的规则和放弃索赔权</w:t>
      </w:r>
    </w:p>
    <w:p w14:paraId="58C4BDB6">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（一）比赛将依据本规程和中国网球协会颁布的最新匹克球运动竞赛规则进行。</w:t>
      </w:r>
    </w:p>
    <w:p w14:paraId="0EAEE056">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（二）参赛运动员在提交报名时，即自动承诺遵守并充分履行上述规则和规程中所包括的义务，并接受其约束。</w:t>
      </w:r>
    </w:p>
    <w:p w14:paraId="65E10853">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（三）任何报名并参加中国匹克球巡回赛的运动员及其支持团队成员，都必须遵守赛事规则和规程中的规定并接受其约束。</w:t>
      </w:r>
    </w:p>
    <w:p w14:paraId="05094421">
      <w:pPr>
        <w:adjustRightInd w:val="0"/>
        <w:snapToGrid w:val="0"/>
        <w:spacing w:after="0" w:line="560" w:lineRule="exact"/>
        <w:ind w:firstLine="640" w:firstLineChars="200"/>
        <w:rPr>
          <w:rFonts w:hint="eastAsia" w:ascii="仿宋_GB2312" w:hAnsi="仿宋_GB2312" w:eastAsia="仿宋_GB2312" w:cs="仿宋_GB2312"/>
          <w:bCs/>
          <w:kern w:val="0"/>
          <w:sz w:val="32"/>
          <w:szCs w:val="32"/>
          <w:lang w:bidi="ar"/>
        </w:rPr>
      </w:pPr>
      <w:r>
        <w:rPr>
          <w:rFonts w:hint="eastAsia" w:ascii="仿宋_GB2312" w:hAnsi="仿宋_GB2312" w:eastAsia="仿宋_GB2312" w:cs="仿宋_GB2312"/>
          <w:bCs/>
          <w:kern w:val="0"/>
          <w:sz w:val="32"/>
          <w:szCs w:val="32"/>
          <w:lang w:bidi="ar"/>
        </w:rPr>
        <w:t>（四）作为一个报名条件，参赛运动员在提交报名时也就表示了认同：运动员本人及其代理人和私人代表将放弃一切针对中国网球协会和承办单位等单位的索赔权，无论索赔是何种方式、性质和类型，包括旅途和参赛过程中发生于过去、现在或将来的损失和伤害。</w:t>
      </w:r>
    </w:p>
    <w:p w14:paraId="4F874FA6">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六</w:t>
      </w:r>
      <w:r>
        <w:rPr>
          <w:rFonts w:hint="eastAsia" w:ascii="黑体" w:hAnsi="黑体" w:eastAsia="黑体" w:cs="黑体"/>
          <w:sz w:val="32"/>
          <w:szCs w:val="32"/>
        </w:rPr>
        <w:t>、其他有关竞赛要求按照中国网球协会相关规定执行。</w:t>
      </w:r>
    </w:p>
    <w:p w14:paraId="15076CD9">
      <w:pPr>
        <w:pStyle w:val="35"/>
        <w:spacing w:after="0" w:line="560" w:lineRule="exact"/>
        <w:ind w:left="0" w:firstLine="640" w:firstLineChars="200"/>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七</w:t>
      </w:r>
      <w:r>
        <w:rPr>
          <w:rFonts w:hint="eastAsia" w:ascii="黑体" w:hAnsi="黑体" w:eastAsia="黑体" w:cs="黑体"/>
          <w:sz w:val="32"/>
          <w:szCs w:val="32"/>
        </w:rPr>
        <w:t>、赛事组委会拥有本规程的最终解释权。未尽事宜，另行颁布。</w:t>
      </w:r>
    </w:p>
    <w:p w14:paraId="58E776A1">
      <w:pPr>
        <w:spacing w:after="0" w:line="560" w:lineRule="exact"/>
        <w:jc w:val="right"/>
        <w:rPr>
          <w:rFonts w:hint="eastAsia" w:ascii="仿宋_GB2312" w:hAnsi="仿宋_GB2312" w:eastAsia="仿宋_GB2312" w:cs="仿宋_GB2312"/>
          <w:sz w:val="32"/>
          <w:szCs w:val="32"/>
        </w:rPr>
      </w:pPr>
    </w:p>
    <w:p w14:paraId="42BEE85D">
      <w:pPr>
        <w:spacing w:after="0" w:line="560" w:lineRule="exact"/>
        <w:jc w:val="right"/>
        <w:rPr>
          <w:rFonts w:hint="eastAsia" w:ascii="仿宋_GB2312" w:hAnsi="仿宋_GB2312" w:eastAsia="仿宋_GB2312" w:cs="仿宋_GB2312"/>
          <w:sz w:val="32"/>
          <w:szCs w:val="32"/>
        </w:rPr>
      </w:pPr>
    </w:p>
    <w:p w14:paraId="30E50483">
      <w:pPr>
        <w:spacing w:after="0" w:line="560" w:lineRule="exact"/>
        <w:ind w:right="763" w:rightChars="347"/>
        <w:jc w:val="right"/>
        <w:rPr>
          <w:rFonts w:hint="eastAsia" w:ascii="仿宋_GB2312" w:hAnsi="仿宋_GB2312" w:eastAsia="仿宋_GB2312" w:cs="仿宋_GB2312"/>
          <w:sz w:val="32"/>
          <w:szCs w:val="32"/>
        </w:rPr>
      </w:pPr>
    </w:p>
    <w:p w14:paraId="5CEAEF6D">
      <w:pPr>
        <w:spacing w:after="0" w:line="560" w:lineRule="exact"/>
        <w:ind w:right="763" w:rightChars="347"/>
        <w:jc w:val="right"/>
        <w:rPr>
          <w:rFonts w:hint="eastAsia" w:ascii="仿宋_GB2312" w:hAnsi="仿宋_GB2312" w:eastAsia="仿宋_GB2312" w:cs="仿宋_GB2312"/>
          <w:sz w:val="32"/>
          <w:szCs w:val="32"/>
        </w:rPr>
      </w:pPr>
    </w:p>
    <w:p w14:paraId="3BF020A2">
      <w:pPr>
        <w:spacing w:after="0" w:line="560" w:lineRule="exact"/>
        <w:ind w:right="763" w:rightChars="347"/>
        <w:jc w:val="right"/>
        <w:rPr>
          <w:rFonts w:ascii="Times New Roman" w:hAnsi="Times New Roman" w:eastAsia="仿宋_GB2312"/>
          <w:sz w:val="32"/>
          <w:szCs w:val="32"/>
        </w:rPr>
      </w:pPr>
    </w:p>
    <w:p w14:paraId="0620C03F">
      <w:pPr>
        <w:spacing w:after="0" w:line="560" w:lineRule="exact"/>
        <w:ind w:right="763" w:rightChars="347"/>
        <w:jc w:val="right"/>
        <w:rPr>
          <w:rFonts w:ascii="Times New Roman" w:hAnsi="Times New Roman" w:eastAsia="仿宋_GB2312"/>
          <w:sz w:val="32"/>
          <w:szCs w:val="32"/>
        </w:rPr>
      </w:pPr>
    </w:p>
    <w:p w14:paraId="317BD8C0">
      <w:pPr>
        <w:spacing w:after="0" w:line="560" w:lineRule="exact"/>
        <w:ind w:right="763" w:rightChars="347"/>
        <w:jc w:val="right"/>
        <w:rPr>
          <w:rFonts w:ascii="Times New Roman" w:hAnsi="Times New Roman" w:eastAsia="仿宋_GB2312"/>
          <w:sz w:val="32"/>
          <w:szCs w:val="32"/>
        </w:rPr>
      </w:pPr>
    </w:p>
    <w:p w14:paraId="77370980">
      <w:pPr>
        <w:spacing w:after="0" w:line="560" w:lineRule="exact"/>
        <w:ind w:right="763" w:rightChars="347"/>
        <w:jc w:val="right"/>
        <w:rPr>
          <w:rFonts w:ascii="Times New Roman" w:hAnsi="Times New Roman" w:eastAsia="仿宋_GB2312"/>
          <w:sz w:val="32"/>
          <w:szCs w:val="32"/>
        </w:rPr>
      </w:pPr>
    </w:p>
    <w:p w14:paraId="157465D8">
      <w:pPr>
        <w:spacing w:after="0" w:line="560" w:lineRule="exact"/>
        <w:ind w:right="763" w:rightChars="347"/>
        <w:jc w:val="right"/>
        <w:rPr>
          <w:rFonts w:ascii="Times New Roman" w:hAnsi="Times New Roman" w:eastAsia="仿宋_GB2312"/>
          <w:sz w:val="32"/>
          <w:szCs w:val="32"/>
        </w:rPr>
      </w:pPr>
    </w:p>
    <w:p w14:paraId="2D73CA24">
      <w:pPr>
        <w:spacing w:after="0" w:line="560" w:lineRule="exact"/>
        <w:ind w:right="763" w:rightChars="347"/>
        <w:jc w:val="right"/>
        <w:rPr>
          <w:rFonts w:ascii="Times New Roman" w:hAnsi="Times New Roman" w:eastAsia="仿宋_GB2312"/>
          <w:sz w:val="32"/>
          <w:szCs w:val="32"/>
        </w:rPr>
      </w:pPr>
    </w:p>
    <w:p w14:paraId="4E1E832C">
      <w:pPr>
        <w:spacing w:after="0" w:line="560" w:lineRule="exact"/>
        <w:ind w:right="763" w:rightChars="347"/>
        <w:jc w:val="right"/>
        <w:rPr>
          <w:rFonts w:ascii="Times New Roman" w:hAnsi="Times New Roman" w:eastAsia="仿宋_GB2312"/>
          <w:sz w:val="32"/>
          <w:szCs w:val="32"/>
        </w:rPr>
      </w:pPr>
    </w:p>
    <w:p w14:paraId="039AFC64">
      <w:pPr>
        <w:spacing w:after="0" w:line="560" w:lineRule="exact"/>
        <w:ind w:right="763" w:rightChars="347"/>
        <w:jc w:val="right"/>
        <w:rPr>
          <w:rFonts w:ascii="Times New Roman" w:hAnsi="Times New Roman" w:eastAsia="仿宋_GB2312"/>
          <w:sz w:val="32"/>
          <w:szCs w:val="32"/>
        </w:rPr>
      </w:pPr>
    </w:p>
    <w:p w14:paraId="6BD12DCA">
      <w:pPr>
        <w:spacing w:after="0" w:line="560" w:lineRule="exact"/>
        <w:ind w:right="763" w:rightChars="347"/>
        <w:jc w:val="right"/>
        <w:rPr>
          <w:rFonts w:ascii="Times New Roman" w:hAnsi="Times New Roman" w:eastAsia="仿宋_GB2312"/>
          <w:sz w:val="32"/>
          <w:szCs w:val="32"/>
        </w:rPr>
      </w:pPr>
    </w:p>
    <w:p w14:paraId="52D697B1">
      <w:pPr>
        <w:spacing w:after="0" w:line="560" w:lineRule="exact"/>
        <w:ind w:right="763" w:rightChars="347"/>
        <w:jc w:val="right"/>
        <w:rPr>
          <w:rFonts w:ascii="Times New Roman" w:hAnsi="Times New Roman" w:eastAsia="仿宋_GB2312"/>
          <w:sz w:val="32"/>
          <w:szCs w:val="32"/>
        </w:rPr>
      </w:pPr>
    </w:p>
    <w:p w14:paraId="0D863E24">
      <w:pPr>
        <w:spacing w:after="0" w:line="560" w:lineRule="exact"/>
        <w:ind w:right="763" w:rightChars="347"/>
        <w:jc w:val="right"/>
        <w:rPr>
          <w:rFonts w:ascii="Times New Roman" w:hAnsi="Times New Roman" w:eastAsia="仿宋_GB2312"/>
          <w:sz w:val="32"/>
          <w:szCs w:val="32"/>
        </w:rPr>
      </w:pPr>
    </w:p>
    <w:p w14:paraId="720AA093">
      <w:pPr>
        <w:spacing w:after="0" w:line="560" w:lineRule="exact"/>
        <w:ind w:right="763" w:rightChars="347"/>
        <w:jc w:val="right"/>
        <w:rPr>
          <w:rFonts w:ascii="Times New Roman" w:hAnsi="Times New Roman" w:eastAsia="仿宋_GB2312"/>
          <w:sz w:val="32"/>
          <w:szCs w:val="32"/>
        </w:rPr>
      </w:pPr>
    </w:p>
    <w:p w14:paraId="0C5A99B9">
      <w:pPr>
        <w:spacing w:line="240" w:lineRule="auto"/>
        <w:rPr>
          <w:rFonts w:hint="eastAsia" w:ascii="黑体" w:hAnsi="黑体" w:eastAsia="黑体" w:cs="黑体"/>
          <w:sz w:val="32"/>
          <w:szCs w:val="32"/>
        </w:rPr>
      </w:pPr>
      <w:r>
        <w:rPr>
          <w:rFonts w:hint="eastAsia" w:ascii="黑体" w:hAnsi="黑体" w:eastAsia="黑体" w:cs="黑体"/>
          <w:sz w:val="32"/>
          <w:szCs w:val="32"/>
        </w:rPr>
        <w:t>附件2</w:t>
      </w:r>
    </w:p>
    <w:p w14:paraId="0AC8037C">
      <w:pPr>
        <w:spacing w:line="240" w:lineRule="auto"/>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自愿参赛责任及风险告知书</w:t>
      </w:r>
    </w:p>
    <w:p w14:paraId="363A6525">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本人（队）自愿报名参加比赛并签署本责任书。</w:t>
      </w:r>
    </w:p>
    <w:p w14:paraId="7946FFA6">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本人（队）已全面了解并同意遵守大会所制订的各项竞赛规程、规则、要求及采取的安全措施。</w:t>
      </w:r>
    </w:p>
    <w:p w14:paraId="33CA80E3">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7ABF486C">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14:paraId="174A4DC6">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14:paraId="18966632">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14:paraId="5CDB47A8">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本人（队）承诺以自己的名义参赛，绝不冒名顶替，否则自愿承担全部法律责任。</w:t>
      </w:r>
    </w:p>
    <w:p w14:paraId="6358DA69">
      <w:pPr>
        <w:numPr>
          <w:ilvl w:val="0"/>
          <w:numId w:val="2"/>
        </w:numPr>
        <w:adjustRightInd w:val="0"/>
        <w:snapToGrid w:val="0"/>
        <w:spacing w:line="240" w:lineRule="auto"/>
        <w:rPr>
          <w:rFonts w:hint="eastAsia"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14:paraId="62BFDAF0">
      <w:pPr>
        <w:spacing w:line="240" w:lineRule="auto"/>
        <w:ind w:firstLine="472" w:firstLineChars="196"/>
        <w:rPr>
          <w:rFonts w:hint="eastAsia" w:ascii="楷体_GB2312" w:hAnsi="楷体_GB2312" w:eastAsia="楷体_GB2312" w:cs="楷体_GB2312"/>
          <w:b/>
          <w:bCs/>
          <w:sz w:val="24"/>
        </w:rPr>
      </w:pPr>
      <w:r>
        <w:rPr>
          <w:rFonts w:hint="eastAsia" w:ascii="楷体_GB2312" w:hAnsi="楷体_GB2312" w:eastAsia="楷体_GB2312" w:cs="楷体_GB2312"/>
          <w:b/>
          <w:bCs/>
          <w:sz w:val="24"/>
        </w:rPr>
        <w:t>参赛项目：</w:t>
      </w:r>
    </w:p>
    <w:p w14:paraId="753F1F7F">
      <w:pPr>
        <w:adjustRightInd w:val="0"/>
        <w:snapToGrid w:val="0"/>
        <w:spacing w:after="0" w:line="240" w:lineRule="auto"/>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（签名请用楷体字填写，务必清晰可辨）</w:t>
      </w:r>
    </w:p>
    <w:p w14:paraId="11A84413">
      <w:pPr>
        <w:adjustRightInd w:val="0"/>
        <w:snapToGrid w:val="0"/>
        <w:spacing w:line="240" w:lineRule="auto"/>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运动员姓名：</w:t>
      </w:r>
    </w:p>
    <w:p w14:paraId="7F4846F8">
      <w:pPr>
        <w:adjustRightInd w:val="0"/>
        <w:snapToGrid w:val="0"/>
        <w:spacing w:line="240" w:lineRule="auto"/>
        <w:ind w:left="502" w:leftChars="228"/>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运动员家长（监护人）签名：</w:t>
      </w:r>
      <w:r>
        <w:rPr>
          <w:rFonts w:hint="eastAsia" w:ascii="楷体_GB2312" w:hAnsi="楷体_GB2312" w:eastAsia="楷体_GB2312" w:cs="楷体_GB2312"/>
          <w:b/>
          <w:bCs/>
          <w:sz w:val="24"/>
        </w:rPr>
        <w:br w:type="textWrapping"/>
      </w:r>
      <w:r>
        <w:rPr>
          <w:rFonts w:hint="eastAsia" w:ascii="楷体_GB2312" w:hAnsi="楷体_GB2312" w:eastAsia="楷体_GB2312" w:cs="楷体_GB2312"/>
          <w:b/>
          <w:bCs/>
          <w:sz w:val="24"/>
        </w:rPr>
        <w:t>运动队教练签名：</w:t>
      </w:r>
    </w:p>
    <w:p w14:paraId="12D78F88">
      <w:pPr>
        <w:adjustRightInd w:val="0"/>
        <w:snapToGrid w:val="0"/>
        <w:spacing w:line="240" w:lineRule="auto"/>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运动队领队签名：</w:t>
      </w:r>
    </w:p>
    <w:p w14:paraId="72AA1C8F">
      <w:pPr>
        <w:adjustRightInd w:val="0"/>
        <w:snapToGrid w:val="0"/>
        <w:spacing w:line="240" w:lineRule="auto"/>
        <w:ind w:firstLine="482" w:firstLineChars="200"/>
        <w:rPr>
          <w:rFonts w:hint="eastAsia" w:ascii="仿宋" w:hAnsi="仿宋" w:eastAsia="仿宋" w:cs="仿宋"/>
          <w:sz w:val="24"/>
        </w:rPr>
      </w:pPr>
      <w:r>
        <w:rPr>
          <w:rFonts w:hint="eastAsia" w:ascii="楷体_GB2312" w:hAnsi="楷体_GB2312" w:eastAsia="楷体_GB2312" w:cs="楷体_GB2312"/>
          <w:b/>
          <w:bCs/>
          <w:sz w:val="24"/>
        </w:rPr>
        <w:t>参赛学校（盖章）：                                   年   月   日</w:t>
      </w:r>
    </w:p>
    <w:p w14:paraId="03169715">
      <w:pPr>
        <w:adjustRightInd w:val="0"/>
        <w:snapToGrid w:val="0"/>
        <w:spacing w:line="240" w:lineRule="auto"/>
        <w:ind w:firstLine="480" w:firstLineChars="200"/>
        <w:rPr>
          <w:rFonts w:hint="eastAsia" w:eastAsia="仿宋"/>
        </w:rPr>
      </w:pPr>
      <w:r>
        <w:rPr>
          <w:rFonts w:hint="eastAsia" w:ascii="仿宋" w:hAnsi="仿宋" w:eastAsia="仿宋" w:cs="仿宋"/>
          <w:sz w:val="24"/>
        </w:rPr>
        <w:t>备注：本《告知书》为每名运动员单独1份，先由运动员本人及其监护人签字，然后由教练、领队签字，加盖学校公章，最后将所有参赛运动员的《告知书》装订成册，上交至赛会组委会。</w:t>
      </w:r>
    </w:p>
    <w:p w14:paraId="14AEC14C">
      <w:pPr>
        <w:pStyle w:val="11"/>
        <w:spacing w:before="124" w:line="238" w:lineRule="auto"/>
        <w:ind w:left="4801"/>
        <w:rPr>
          <w:rFonts w:hint="eastAsia"/>
          <w:lang w:eastAsia="zh-CN"/>
        </w:rPr>
      </w:pPr>
    </w:p>
    <w:sectPr>
      <w:headerReference r:id="rId5" w:type="default"/>
      <w:footerReference r:id="rId6" w:type="default"/>
      <w:pgSz w:w="11906" w:h="16838"/>
      <w:pgMar w:top="2098" w:right="1474" w:bottom="1985" w:left="1588"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8B3AA">
    <w:pPr>
      <w:pStyle w:val="13"/>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D0FF5E">
                          <w:pPr>
                            <w:pStyle w:val="13"/>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1D0FF5E">
                    <w:pPr>
                      <w:pStyle w:val="13"/>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2E95E">
    <w:pPr>
      <w:pStyle w:val="14"/>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abstractNum w:abstractNumId="1">
    <w:nsid w:val="FFD48824"/>
    <w:multiLevelType w:val="singleLevel"/>
    <w:tmpl w:val="FFD48824"/>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EFB"/>
    <w:rsid w:val="00083B84"/>
    <w:rsid w:val="00096C80"/>
    <w:rsid w:val="000B603A"/>
    <w:rsid w:val="001B00FE"/>
    <w:rsid w:val="00217E80"/>
    <w:rsid w:val="00250EFB"/>
    <w:rsid w:val="0032426D"/>
    <w:rsid w:val="0039748A"/>
    <w:rsid w:val="003E3DB7"/>
    <w:rsid w:val="003E7DA8"/>
    <w:rsid w:val="004F5DAA"/>
    <w:rsid w:val="005D70F1"/>
    <w:rsid w:val="007545CD"/>
    <w:rsid w:val="007F525D"/>
    <w:rsid w:val="00803BCB"/>
    <w:rsid w:val="008A50D6"/>
    <w:rsid w:val="008B2B73"/>
    <w:rsid w:val="009A7962"/>
    <w:rsid w:val="00B01187"/>
    <w:rsid w:val="00BD7D40"/>
    <w:rsid w:val="00BF77D8"/>
    <w:rsid w:val="00C119D6"/>
    <w:rsid w:val="00CF1885"/>
    <w:rsid w:val="00D043DD"/>
    <w:rsid w:val="00D40A2D"/>
    <w:rsid w:val="00DA63C9"/>
    <w:rsid w:val="018E7208"/>
    <w:rsid w:val="02252206"/>
    <w:rsid w:val="03B163C7"/>
    <w:rsid w:val="08713341"/>
    <w:rsid w:val="0AAF780A"/>
    <w:rsid w:val="0E84696D"/>
    <w:rsid w:val="143F42F3"/>
    <w:rsid w:val="18F24AD4"/>
    <w:rsid w:val="191F56A4"/>
    <w:rsid w:val="19771B7E"/>
    <w:rsid w:val="1A295843"/>
    <w:rsid w:val="1A5712FD"/>
    <w:rsid w:val="1F455F33"/>
    <w:rsid w:val="24B6379A"/>
    <w:rsid w:val="2577571F"/>
    <w:rsid w:val="2A066761"/>
    <w:rsid w:val="2B2C33CC"/>
    <w:rsid w:val="2FDD09E9"/>
    <w:rsid w:val="30E52BF7"/>
    <w:rsid w:val="315C66BB"/>
    <w:rsid w:val="346644FE"/>
    <w:rsid w:val="35085645"/>
    <w:rsid w:val="36D84407"/>
    <w:rsid w:val="39761CB6"/>
    <w:rsid w:val="3B1C5FD3"/>
    <w:rsid w:val="3E81612E"/>
    <w:rsid w:val="401A5953"/>
    <w:rsid w:val="446C618F"/>
    <w:rsid w:val="46334724"/>
    <w:rsid w:val="464D6B29"/>
    <w:rsid w:val="48831CF9"/>
    <w:rsid w:val="49F25388"/>
    <w:rsid w:val="4A1127A5"/>
    <w:rsid w:val="4C7F7227"/>
    <w:rsid w:val="526F0D33"/>
    <w:rsid w:val="54B6276D"/>
    <w:rsid w:val="54F83C12"/>
    <w:rsid w:val="55894DF3"/>
    <w:rsid w:val="57935BBE"/>
    <w:rsid w:val="5B4C1EBB"/>
    <w:rsid w:val="5BEC1C38"/>
    <w:rsid w:val="5D3A70EE"/>
    <w:rsid w:val="63416268"/>
    <w:rsid w:val="64F92A4E"/>
    <w:rsid w:val="68A65864"/>
    <w:rsid w:val="6C5D448C"/>
    <w:rsid w:val="6C6B4DFB"/>
    <w:rsid w:val="6E393228"/>
    <w:rsid w:val="6EEE3AC1"/>
    <w:rsid w:val="70DA42FD"/>
    <w:rsid w:val="720E29D5"/>
    <w:rsid w:val="721455EC"/>
    <w:rsid w:val="73BE02D8"/>
    <w:rsid w:val="751D0C5C"/>
    <w:rsid w:val="762878B8"/>
    <w:rsid w:val="766D79C1"/>
    <w:rsid w:val="77A022D6"/>
    <w:rsid w:val="77B02DE4"/>
    <w:rsid w:val="7BC82AEC"/>
    <w:rsid w:val="7C4925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2"/>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4"/>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5"/>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7"/>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8"/>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1"/>
    <w:semiHidden/>
    <w:qFormat/>
    <w:uiPriority w:val="0"/>
    <w:pPr>
      <w:widowControl/>
      <w:kinsoku w:val="0"/>
      <w:autoSpaceDE w:val="0"/>
      <w:autoSpaceDN w:val="0"/>
      <w:adjustRightInd w:val="0"/>
      <w:snapToGrid w:val="0"/>
      <w:spacing w:line="240" w:lineRule="auto"/>
      <w:textAlignment w:val="baseline"/>
    </w:pPr>
    <w:rPr>
      <w:rFonts w:ascii="仿宋" w:hAnsi="仿宋" w:eastAsia="仿宋" w:cs="仿宋"/>
      <w:snapToGrid w:val="0"/>
      <w:color w:val="000000"/>
      <w:kern w:val="0"/>
      <w:sz w:val="31"/>
      <w:szCs w:val="31"/>
      <w:lang w:eastAsia="en-US"/>
      <w14:ligatures w14:val="none"/>
    </w:rPr>
  </w:style>
  <w:style w:type="paragraph" w:styleId="12">
    <w:name w:val="Date"/>
    <w:basedOn w:val="1"/>
    <w:next w:val="1"/>
    <w:link w:val="40"/>
    <w:semiHidden/>
    <w:unhideWhenUsed/>
    <w:qFormat/>
    <w:uiPriority w:val="99"/>
    <w:pPr>
      <w:ind w:left="100" w:leftChars="2500"/>
    </w:pPr>
  </w:style>
  <w:style w:type="paragraph" w:styleId="13">
    <w:name w:val="footer"/>
    <w:basedOn w:val="1"/>
    <w:link w:val="43"/>
    <w:unhideWhenUsed/>
    <w:qFormat/>
    <w:uiPriority w:val="99"/>
    <w:pPr>
      <w:tabs>
        <w:tab w:val="center" w:pos="4153"/>
        <w:tab w:val="right" w:pos="8306"/>
      </w:tabs>
      <w:snapToGrid w:val="0"/>
      <w:spacing w:line="240" w:lineRule="auto"/>
    </w:pPr>
    <w:rPr>
      <w:sz w:val="18"/>
      <w:szCs w:val="18"/>
    </w:rPr>
  </w:style>
  <w:style w:type="paragraph" w:styleId="14">
    <w:name w:val="header"/>
    <w:basedOn w:val="1"/>
    <w:link w:val="42"/>
    <w:unhideWhenUsed/>
    <w:qFormat/>
    <w:uiPriority w:val="99"/>
    <w:pPr>
      <w:tabs>
        <w:tab w:val="center" w:pos="4153"/>
        <w:tab w:val="right" w:pos="8306"/>
      </w:tabs>
      <w:snapToGrid w:val="0"/>
      <w:spacing w:line="240" w:lineRule="auto"/>
      <w:jc w:val="center"/>
    </w:pPr>
    <w:rPr>
      <w:sz w:val="18"/>
      <w:szCs w:val="18"/>
    </w:rPr>
  </w:style>
  <w:style w:type="paragraph" w:styleId="15">
    <w:name w:val="Subtitle"/>
    <w:basedOn w:val="1"/>
    <w:next w:val="1"/>
    <w:link w:val="3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qFormat/>
    <w:uiPriority w:val="0"/>
    <w:rPr>
      <w:sz w:val="24"/>
    </w:rPr>
  </w:style>
  <w:style w:type="paragraph" w:styleId="17">
    <w:name w:val="Title"/>
    <w:basedOn w:val="1"/>
    <w:next w:val="1"/>
    <w:link w:val="31"/>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customStyle="1" w:styleId="22">
    <w:name w:val="标题 1 字符"/>
    <w:basedOn w:val="20"/>
    <w:link w:val="2"/>
    <w:qFormat/>
    <w:uiPriority w:val="9"/>
    <w:rPr>
      <w:rFonts w:asciiTheme="majorHAnsi" w:hAnsiTheme="majorHAnsi" w:eastAsiaTheme="majorEastAsia" w:cstheme="majorBidi"/>
      <w:color w:val="2F5597" w:themeColor="accent1" w:themeShade="BF"/>
      <w:sz w:val="48"/>
      <w:szCs w:val="48"/>
    </w:rPr>
  </w:style>
  <w:style w:type="character" w:customStyle="1" w:styleId="23">
    <w:name w:val="标题 2 字符"/>
    <w:basedOn w:val="20"/>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4">
    <w:name w:val="标题 3 字符"/>
    <w:basedOn w:val="20"/>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5">
    <w:name w:val="标题 4 字符"/>
    <w:basedOn w:val="20"/>
    <w:link w:val="5"/>
    <w:semiHidden/>
    <w:qFormat/>
    <w:uiPriority w:val="9"/>
    <w:rPr>
      <w:rFonts w:cstheme="majorBidi"/>
      <w:color w:val="2F5597" w:themeColor="accent1" w:themeShade="BF"/>
      <w:sz w:val="28"/>
      <w:szCs w:val="28"/>
    </w:rPr>
  </w:style>
  <w:style w:type="character" w:customStyle="1" w:styleId="26">
    <w:name w:val="标题 5 字符"/>
    <w:basedOn w:val="20"/>
    <w:link w:val="6"/>
    <w:semiHidden/>
    <w:qFormat/>
    <w:uiPriority w:val="9"/>
    <w:rPr>
      <w:rFonts w:cstheme="majorBidi"/>
      <w:color w:val="2F5597" w:themeColor="accent1" w:themeShade="BF"/>
      <w:sz w:val="24"/>
    </w:rPr>
  </w:style>
  <w:style w:type="character" w:customStyle="1" w:styleId="27">
    <w:name w:val="标题 6 字符"/>
    <w:basedOn w:val="20"/>
    <w:link w:val="7"/>
    <w:semiHidden/>
    <w:qFormat/>
    <w:uiPriority w:val="9"/>
    <w:rPr>
      <w:rFonts w:cstheme="majorBidi"/>
      <w:b/>
      <w:bCs/>
      <w:color w:val="2F5597" w:themeColor="accent1" w:themeShade="BF"/>
    </w:rPr>
  </w:style>
  <w:style w:type="character" w:customStyle="1" w:styleId="28">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20"/>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明显强调1"/>
    <w:basedOn w:val="20"/>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明显引用 字符"/>
    <w:basedOn w:val="20"/>
    <w:link w:val="37"/>
    <w:qFormat/>
    <w:uiPriority w:val="30"/>
    <w:rPr>
      <w:i/>
      <w:iCs/>
      <w:color w:val="2F5597" w:themeColor="accent1" w:themeShade="BF"/>
    </w:rPr>
  </w:style>
  <w:style w:type="character" w:customStyle="1" w:styleId="39">
    <w:name w:val="明显参考1"/>
    <w:basedOn w:val="20"/>
    <w:qFormat/>
    <w:uiPriority w:val="32"/>
    <w:rPr>
      <w:b/>
      <w:bCs/>
      <w:smallCaps/>
      <w:color w:val="2F5597" w:themeColor="accent1" w:themeShade="BF"/>
      <w:spacing w:val="5"/>
    </w:rPr>
  </w:style>
  <w:style w:type="character" w:customStyle="1" w:styleId="40">
    <w:name w:val="日期 字符"/>
    <w:basedOn w:val="20"/>
    <w:link w:val="12"/>
    <w:semiHidden/>
    <w:qFormat/>
    <w:uiPriority w:val="99"/>
  </w:style>
  <w:style w:type="character" w:customStyle="1" w:styleId="41">
    <w:name w:val="正文文本 字符"/>
    <w:basedOn w:val="20"/>
    <w:link w:val="11"/>
    <w:semiHidden/>
    <w:qFormat/>
    <w:uiPriority w:val="0"/>
    <w:rPr>
      <w:rFonts w:ascii="仿宋" w:hAnsi="仿宋" w:eastAsia="仿宋" w:cs="仿宋"/>
      <w:snapToGrid w:val="0"/>
      <w:color w:val="000000"/>
      <w:kern w:val="0"/>
      <w:sz w:val="31"/>
      <w:szCs w:val="31"/>
      <w:lang w:eastAsia="en-US"/>
      <w14:ligatures w14:val="none"/>
    </w:rPr>
  </w:style>
  <w:style w:type="character" w:customStyle="1" w:styleId="42">
    <w:name w:val="页眉 字符"/>
    <w:basedOn w:val="20"/>
    <w:link w:val="14"/>
    <w:qFormat/>
    <w:uiPriority w:val="99"/>
    <w:rPr>
      <w:sz w:val="18"/>
      <w:szCs w:val="18"/>
    </w:rPr>
  </w:style>
  <w:style w:type="character" w:customStyle="1" w:styleId="43">
    <w:name w:val="页脚 字符"/>
    <w:basedOn w:val="20"/>
    <w:link w:val="13"/>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e1256734-31a1-4c14-9cc8-64ca0b228da1</errorID>
      <errorWord>报到</errorWord>
      <group>L1_Word</group>
      <groupName>字词问题</groupName>
      <ability>L2_Typo</ability>
      <abilityName>字词错误</abilityName>
      <candidateList>
        <item>报道</item>
      </candidateList>
      <explain>❶〈动〉通过报纸、杂志、广播、电视或其他形式把新闻告诉群众：～消息。❷〈名〉用书面或广播、电视形式发表的新闻稿：他写了一篇关于小麦丰收的～。</explain>
      <paraID>7E1FF2EB</paraID>
      <start>0</start>
      <end>2</end>
      <status>unmodified</status>
      <modifiedWord/>
      <trackRevisions>false</trackRevisions>
    </reviewItem>
    <reviewItem>
      <errorID>10ee31d6-2931-49d6-bea7-4a2120ac0941</errorID>
      <errorWord>须提交</errorWord>
      <group>L1_Word</group>
      <groupName>字词问题</groupName>
      <ability>L2_Typo</ability>
      <abilityName>字词错误</abilityName>
      <candidateList>
        <item>需提交</item>
      </candidateList>
      <explain>存在发音相同字词的误用。</explain>
      <paraID> 75892AF</paraID>
      <start>18</start>
      <end>21</end>
      <status>modified</status>
      <modifiedWord>需提交</modifiedWord>
      <trackRevisions>false</trackRevisions>
    </reviewItem>
    <reviewItem>
      <errorID>9310c390-2fb2-47a7-ae3c-94d1ff8c0bc7</errorID>
      <errorWord>须</errorWord>
      <group>L1_Word</group>
      <groupName>字词问题</groupName>
      <ability>L2_Typo</ability>
      <abilityName>字词错误</abilityName>
      <candidateList>
        <item>需</item>
      </candidateList>
      <explain>❶〈动〉需要：～求｜按～分配｜完成任务还～五天时间。❷需用的东西：军～。</explain>
      <paraID> 73FB6B0</paraID>
      <start>18</start>
      <end>19</end>
      <status>modified</status>
      <modifiedWord>需</modifiedWord>
      <trackRevisions>false</trackRevisions>
    </reviewItem>
    <reviewItem>
      <errorID>f8fa4500-1a4b-48f4-ae8c-b55c114ff4d6</errorID>
      <errorWord>证明</errorWord>
      <group>L1_Grammar</group>
      <groupName>语法问题</groupName>
      <ability>L2_Grammar</ability>
      <abilityName>语法错误</abilityName>
      <candidateList>
        <item>，出具证明</item>
      </candidateList>
      <explain/>
      <paraID> 73FB6B0</paraID>
      <start>24</start>
      <end>26</end>
      <status>unmodified</status>
      <modifiedWord/>
      <trackRevisions>false</trackRevisions>
    </reviewItem>
    <reviewItem>
      <errorID>afa42e33-747a-4bfe-87b9-8686f8b132d4</errorID>
      <errorWord>督</errorWord>
      <group>L1_Word</group>
      <groupName>字词问题</groupName>
      <ability>L2_Typo</ability>
      <abilityName>字词错误</abilityName>
      <candidateList>
        <item>督员</item>
      </candidateList>
      <explain/>
      <paraID>6D5CC8EE</paraID>
      <start>41</start>
      <end>42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FF3CC9-600F-4DA1-A6E9-71E72D33C1BA}">
  <ds:schemaRefs/>
</ds:datastoreItem>
</file>

<file path=customXml/itemProps3.xml><?xml version="1.0" encoding="utf-8"?>
<ds:datastoreItem xmlns:ds="http://schemas.openxmlformats.org/officeDocument/2006/customXml" ds:itemID="{f58b55ef-b18c-4200-8812-b1d41379d3e3}">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3450</Words>
  <Characters>3564</Characters>
  <Lines>121</Lines>
  <Paragraphs>127</Paragraphs>
  <TotalTime>2</TotalTime>
  <ScaleCrop>false</ScaleCrop>
  <LinksUpToDate>false</LinksUpToDate>
  <CharactersWithSpaces>3621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2026-05-18T12:53:00Z</dcterms:created>
  <dc:creator>奕嶙 宋</dc:creator>
  <cp:lastModifiedBy>l</cp:lastModifiedBy>
  <dcterms:modified xsi:type="dcterms:W3CDTF">2026-06-10T01:16:24Z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eyJoZGlkIjoiNGM5YzE4NDcxNjdjM2E4MjZkNTM2ZjEzOGFhYWNhZWYiLCJ1c2VySWQiOiIzMTExMjcyOTUifQ==</vt:lpwstr>
  </property>
  <property fmtid="{D5CDD505-2E9C-101B-9397-08002B2CF9AE}" pid="3" name="KSOProductBuildVer">
    <vt:lpwstr>2052-12.1.0.26375</vt:lpwstr>
  </property>
  <property fmtid="{D5CDD505-2E9C-101B-9397-08002B2CF9AE}" pid="4" name="ICV">
    <vt:lpwstr>8AC4F28FBB5143979C64C57267E8035E_13</vt:lpwstr>
  </property>
</Properties>
</file>